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rFonts w:ascii="Times New Roman"/>
          <w:sz w:val="20"/>
          <w:lang w:val="ru-RU" w:eastAsia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4204653</wp:posOffset>
                </wp:positionH>
                <wp:positionV relativeFrom="paragraph">
                  <wp:posOffset>-242252</wp:posOffset>
                </wp:positionV>
                <wp:extent cx="1143000" cy="308846"/>
                <wp:effectExtent l="0" t="0" r="0" b="0"/>
                <wp:wrapSquare wrapText="bothSides"/>
                <wp:docPr id="3" name="Рисунок 1" descr="C:\Users\enuser\Desktop\Бланки-2021\Лого-ПЭА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0056425" name="Picture 1" descr="C:\Users\enuser\Desktop\Бланки-2021\Лого-ПЭА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4"/>
                        <a:stretch/>
                      </pic:blipFill>
                      <pic:spPr bwMode="auto">
                        <a:xfrm rot="0" flipH="0" flipV="0">
                          <a:off x="0" y="0"/>
                          <a:ext cx="1143000" cy="308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251658240;o:allowoverlap:true;o:allowincell:true;mso-position-horizontal-relative:text;margin-left:331.08pt;mso-position-horizontal:absolute;mso-position-vertical-relative:text;margin-top:-19.07pt;mso-position-vertical:absolute;width:90.00pt;height:24.32pt;mso-wrap-distance-left:9.00pt;mso-wrap-distance-top:0.00pt;mso-wrap-distance-right:9.00pt;mso-wrap-distance-bottom:0.00pt;rotation:0;" stroked="f">
                <v:path textboxrect="0,0,0,0"/>
                <w10:wrap type="square"/>
                <v:imagedata r:id="rId24" o:title=""/>
              </v:shape>
            </w:pict>
          </mc:Fallback>
        </mc:AlternateContent>
      </w:r>
      <w:r>
        <w:rPr>
          <w:rFonts w:ascii="Times New Roman"/>
          <w:sz w:val="20"/>
          <w:lang w:val="ru-RU"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67627</wp:posOffset>
                </wp:positionH>
                <wp:positionV relativeFrom="paragraph">
                  <wp:posOffset>-242252</wp:posOffset>
                </wp:positionV>
                <wp:extent cx="1714500" cy="716915"/>
                <wp:effectExtent l="0" t="0" r="0" b="0"/>
                <wp:wrapSquare wrapText="bothSides"/>
                <wp:docPr id="4" name="Рисунок 2" descr="псковэнергоагент_логобол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8866630" name="Picture 3" descr="псковэнергоагент_логобол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5"/>
                        <a:stretch/>
                      </pic:blipFill>
                      <pic:spPr bwMode="auto">
                        <a:xfrm rot="0" flipH="0" flipV="0">
                          <a:off x="0" y="0"/>
                          <a:ext cx="1714500" cy="7169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251655168;o:allowoverlap:true;o:allowincell:true;mso-position-horizontal-relative:text;margin-left:5.32pt;mso-position-horizontal:absolute;mso-position-vertical-relative:text;margin-top:-19.07pt;mso-position-vertical:absolute;width:135.00pt;height:56.45pt;mso-wrap-distance-left:9.00pt;mso-wrap-distance-top:0.00pt;mso-wrap-distance-right:9.00pt;mso-wrap-distance-bottom:0.00pt;rotation:0;" stroked="f">
                <v:path textboxrect="0,0,0,0"/>
                <w10:wrap type="square"/>
                <v:imagedata r:id="rId25" o:title=""/>
              </v:shape>
            </w:pict>
          </mc:Fallback>
        </mc:AlternateContent>
      </w:r>
      <w:r/>
    </w:p>
    <w:p>
      <w:r>
        <w:rPr>
          <w:sz w:val="20"/>
          <w:szCs w:val="20"/>
          <w:lang w:val="ru-RU" w:eastAsia="ru-RU"/>
        </w:rPr>
      </w:r>
      <w:r/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470"/>
        <w:ind w:left="6096"/>
        <w:spacing w:before="0" w:beforeAutospacing="0" w:after="0" w:afterAutospacing="0"/>
      </w:pPr>
      <w:r>
        <w:rPr>
          <w:color w:val="000000"/>
        </w:rPr>
        <w:t xml:space="preserve">УТВЕР</w:t>
      </w:r>
      <w:bookmarkStart w:id="1" w:name="_GoBack"/>
      <w:r/>
      <w:bookmarkEnd w:id="1"/>
      <w:r>
        <w:rPr>
          <w:color w:val="000000"/>
        </w:rPr>
        <w:t xml:space="preserve">ЖДЕНО</w:t>
      </w:r>
      <w:r/>
    </w:p>
    <w:p>
      <w:pPr>
        <w:pStyle w:val="1463"/>
        <w:ind w:left="6096"/>
        <w:spacing w:before="0" w:beforeAutospacing="0" w:after="0" w:afterAutospacing="0"/>
      </w:pPr>
      <w:r>
        <w:rPr>
          <w:color w:val="000000"/>
        </w:rPr>
        <w:t xml:space="preserve">приказом АО «Псковэнергоагент»</w:t>
      </w:r>
      <w:r/>
    </w:p>
    <w:p>
      <w:pPr>
        <w:pStyle w:val="1463"/>
        <w:ind w:left="6096"/>
        <w:spacing w:before="0" w:beforeAutospacing="0" w:after="0" w:afterAutospacing="0"/>
        <w:tabs>
          <w:tab w:val="left" w:pos="5388" w:leader="none"/>
        </w:tabs>
      </w:pPr>
      <w:r>
        <w:rPr>
          <w:color w:val="000000"/>
        </w:rPr>
        <w:t xml:space="preserve">от ________________ № ____</w:t>
      </w:r>
      <w:r/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ПОЛОЖЕНИЕ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center"/>
        <w:tabs>
          <w:tab w:val="left" w:pos="709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начальной (максимальной) цене договора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tabs>
          <w:tab w:val="left" w:pos="709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проведении закупочных процедур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right="-142"/>
        <w:jc w:val="both"/>
        <w:shd w:val="clear" w:color="auto" w:fill="ffffff"/>
        <w:tabs>
          <w:tab w:val="num" w:pos="993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center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г. Псков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center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2026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center"/>
        <w:widowControl/>
        <w:rPr>
          <w:sz w:val="24"/>
          <w:szCs w:val="24"/>
          <w:lang w:eastAsia="en-US"/>
        </w:rPr>
        <w:sectPr>
          <w:headerReference w:type="default" r:id="rId9"/>
          <w:headerReference w:type="first" r:id="rId10"/>
          <w:footerReference w:type="first" r:id="rId16"/>
          <w:footnotePr/>
          <w:endnotePr/>
          <w:type w:val="nextPage"/>
          <w:pgSz w:w="11905" w:h="16838" w:orient="portrait"/>
          <w:pgMar w:top="1134" w:right="565" w:bottom="426" w:left="1134" w:header="397" w:footer="397" w:gutter="0"/>
          <w:pgNumType w:start="1"/>
          <w:cols w:num="1" w:sep="0" w:space="720" w:equalWidth="1"/>
          <w:docGrid w:linePitch="360"/>
          <w:titlePg/>
        </w:sect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center"/>
        <w:widowControl/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Содержание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sdt>
      <w:sdtPr>
        <w15:appearance w15:val="boundingBox"/>
        <w:id w:val="-1187208130"/>
        <w:docPartObj>
          <w:docPartGallery w:val="Table of Contents"/>
          <w:docPartUnique w:val="true"/>
        </w:docPartObj>
        <w:rPr>
          <w:rFonts w:eastAsia="Calibri"/>
          <w:color w:val="000000" w:themeColor="text1"/>
          <w:sz w:val="24"/>
          <w:szCs w:val="24"/>
          <w:lang w:eastAsia="en-US"/>
        </w:rPr>
      </w:sdtPr>
      <w:sdtContent>
        <w:p>
          <w:pPr>
            <w:contextualSpacing/>
            <w:jc w:val="center"/>
            <w:keepLines/>
            <w:keepNext/>
            <w:widowControl/>
            <w:tabs>
              <w:tab w:val="left" w:pos="426" w:leader="none"/>
            </w:tabs>
            <w:rPr>
              <w:color w:val="000000" w:themeColor="text1"/>
              <w:sz w:val="24"/>
              <w:szCs w:val="24"/>
            </w:rPr>
          </w:pPr>
          <w:r>
            <w:rPr>
              <w:color w:val="000000" w:themeColor="text1"/>
              <w:sz w:val="24"/>
              <w:szCs w:val="24"/>
            </w:rPr>
          </w:r>
          <w:r>
            <w:rPr>
              <w:color w:val="000000" w:themeColor="text1"/>
              <w:sz w:val="24"/>
              <w:szCs w:val="24"/>
            </w:rPr>
          </w:r>
          <w:r>
            <w:rPr>
              <w:color w:val="000000" w:themeColor="text1"/>
              <w:sz w:val="24"/>
              <w:szCs w:val="24"/>
            </w:rPr>
          </w:r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>
            <w:rPr>
              <w:bCs/>
              <w:lang w:eastAsia="en-US"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  <w:lang w:eastAsia="en-US"/>
            </w:rPr>
            <w:fldChar w:fldCharType="separate"/>
          </w:r>
          <w:hyperlink w:tooltip="#_Toc1" w:anchor="_Toc1" w:history="1">
            <w:r>
              <w:t xml:space="preserve">1</w:t>
            </w:r>
            <w:r>
              <w:tab/>
            </w:r>
            <w:r>
              <w:rPr>
                <w:rStyle w:val="1432"/>
              </w:rPr>
              <w:t xml:space="preserve">Назначение и область применения</w:t>
            </w:r>
            <w:r>
              <w:tab/>
            </w:r>
            <w:r>
              <w:fldChar w:fldCharType="begin"/>
            </w:r>
            <w:r>
              <w:instrText xml:space="preserve">PAGEREF _Toc1 \h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2" w:anchor="_Toc2" w:history="1">
            <w:r>
              <w:t xml:space="preserve">2</w:t>
            </w:r>
            <w:r>
              <w:tab/>
            </w:r>
            <w:r>
              <w:rPr>
                <w:rStyle w:val="1432"/>
              </w:rPr>
              <w:t xml:space="preserve">Нормативные ссылки</w:t>
            </w:r>
            <w:r>
              <w:tab/>
            </w:r>
            <w:r>
              <w:fldChar w:fldCharType="begin"/>
            </w:r>
            <w:r>
              <w:instrText xml:space="preserve">PAGEREF _Toc2 \h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3" w:anchor="_Toc3" w:history="1">
            <w:r>
              <w:t xml:space="preserve">3</w:t>
            </w:r>
            <w:r>
              <w:tab/>
            </w:r>
            <w:r>
              <w:rPr>
                <w:rStyle w:val="1432"/>
              </w:rPr>
              <w:t xml:space="preserve">Обозначения и сокращения</w:t>
            </w:r>
            <w:r>
              <w:tab/>
            </w:r>
            <w:r>
              <w:fldChar w:fldCharType="begin"/>
            </w:r>
            <w:r>
              <w:instrText xml:space="preserve">PAGEREF _Toc3 \h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4" w:anchor="_Toc4" w:history="1">
            <w:r>
              <w:t xml:space="preserve">4</w:t>
            </w:r>
            <w:r>
              <w:tab/>
            </w:r>
            <w:r>
              <w:rPr>
                <w:rStyle w:val="1432"/>
              </w:rPr>
              <w:t xml:space="preserve">Термины и определения</w:t>
            </w:r>
            <w:r>
              <w:tab/>
            </w:r>
            <w:r>
              <w:fldChar w:fldCharType="begin"/>
            </w:r>
            <w:r>
              <w:instrText xml:space="preserve">PAGEREF _Toc4 \h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5" w:anchor="_Toc5" w:history="1">
            <w:r>
              <w:t xml:space="preserve">5</w:t>
            </w:r>
            <w:r>
              <w:tab/>
            </w:r>
            <w:r>
              <w:rPr>
                <w:rStyle w:val="1432"/>
              </w:rPr>
              <w:t xml:space="preserve">Общие положения</w:t>
            </w:r>
            <w:r>
              <w:tab/>
            </w:r>
            <w:r>
              <w:fldChar w:fldCharType="begin"/>
            </w:r>
            <w:r>
              <w:instrText xml:space="preserve">PAGEREF _Toc5 \h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6" w:anchor="_Toc6" w:history="1">
            <w:r>
              <w:t xml:space="preserve">6</w:t>
            </w:r>
            <w:r>
              <w:tab/>
            </w:r>
            <w:r>
              <w:rPr>
                <w:rStyle w:val="1432"/>
              </w:rPr>
              <w:t xml:space="preserve">Порядок формирования НМЦ</w:t>
            </w:r>
            <w:r>
              <w:tab/>
            </w:r>
            <w:r>
              <w:fldChar w:fldCharType="begin"/>
            </w:r>
            <w:r>
              <w:instrText xml:space="preserve">PAGEREF _Toc6 \h</w:instrText>
            </w:r>
            <w:r>
              <w:fldChar w:fldCharType="separate"/>
            </w:r>
            <w:r>
              <w:t xml:space="preserve">6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7" w:anchor="_Toc7" w:history="1">
            <w:r>
              <w:t xml:space="preserve">7</w:t>
            </w:r>
            <w:r>
              <w:tab/>
            </w:r>
            <w:r>
              <w:rPr>
                <w:rStyle w:val="1432"/>
              </w:rPr>
              <w:t xml:space="preserve">Методы определения НМЦ договора</w:t>
            </w:r>
            <w:r>
              <w:tab/>
            </w:r>
            <w:r>
              <w:fldChar w:fldCharType="begin"/>
            </w:r>
            <w:r>
              <w:instrText xml:space="preserve">PAGEREF _Toc7 \h</w:instrText>
            </w:r>
            <w:r>
              <w:fldChar w:fldCharType="separate"/>
            </w:r>
            <w:r>
              <w:t xml:space="preserve">7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8" w:anchor="_Toc8" w:history="1">
            <w:r>
              <w:t xml:space="preserve">8</w:t>
            </w:r>
            <w:r>
              <w:tab/>
            </w:r>
            <w:r>
              <w:rPr>
                <w:rStyle w:val="1432"/>
              </w:rPr>
              <w:t xml:space="preserve">Метод сопоставимых рыночных цен (анализа рынка)</w:t>
            </w:r>
            <w:r>
              <w:tab/>
            </w:r>
            <w:r>
              <w:fldChar w:fldCharType="begin"/>
            </w:r>
            <w:r>
              <w:instrText xml:space="preserve">PAGEREF _Toc8 \h</w:instrText>
            </w:r>
            <w:r>
              <w:fldChar w:fldCharType="separate"/>
            </w:r>
            <w:r>
              <w:t xml:space="preserve">8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9" w:anchor="_Toc9" w:history="1">
            <w:r>
              <w:t xml:space="preserve">9</w:t>
            </w:r>
            <w:r>
              <w:tab/>
            </w:r>
            <w:r>
              <w:rPr>
                <w:rStyle w:val="1432"/>
              </w:rPr>
              <w:t xml:space="preserve">Нормативный метод</w:t>
            </w:r>
            <w:r>
              <w:tab/>
            </w:r>
            <w:r>
              <w:fldChar w:fldCharType="begin"/>
            </w:r>
            <w:r>
              <w:instrText xml:space="preserve">PAGEREF _Toc9 \h</w:instrText>
            </w:r>
            <w:r>
              <w:fldChar w:fldCharType="separate"/>
            </w:r>
            <w:r>
              <w:t xml:space="preserve">11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10" w:anchor="_Toc10" w:history="1">
            <w:r>
              <w:t xml:space="preserve">10</w:t>
            </w:r>
            <w:r>
              <w:tab/>
            </w:r>
            <w:r>
              <w:rPr>
                <w:rStyle w:val="1432"/>
              </w:rPr>
              <w:t xml:space="preserve">Тарифный метод</w:t>
            </w:r>
            <w:r>
              <w:tab/>
            </w:r>
            <w:r>
              <w:fldChar w:fldCharType="begin"/>
            </w:r>
            <w:r>
              <w:instrText xml:space="preserve">PAGEREF _Toc10 \h</w:instrText>
            </w:r>
            <w:r>
              <w:fldChar w:fldCharType="separate"/>
            </w:r>
            <w:r>
              <w:t xml:space="preserve">12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11" w:anchor="_Toc11" w:history="1">
            <w:r>
              <w:t xml:space="preserve">11</w:t>
            </w:r>
            <w:r>
              <w:tab/>
            </w:r>
            <w:r>
              <w:rPr>
                <w:rStyle w:val="1432"/>
              </w:rPr>
              <w:t xml:space="preserve">Проектно-сметный метод</w:t>
            </w:r>
            <w:r>
              <w:tab/>
            </w:r>
            <w:r>
              <w:fldChar w:fldCharType="begin"/>
            </w:r>
            <w:r>
              <w:instrText xml:space="preserve">PAGEREF _Toc11 \h</w:instrText>
            </w:r>
            <w:r>
              <w:fldChar w:fldCharType="separate"/>
            </w:r>
            <w:r>
              <w:t xml:space="preserve">12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12" w:anchor="_Toc12" w:history="1">
            <w:r>
              <w:t xml:space="preserve">12</w:t>
            </w:r>
            <w:r>
              <w:tab/>
            </w:r>
            <w:r>
              <w:rPr>
                <w:rStyle w:val="1432"/>
              </w:rPr>
              <w:t xml:space="preserve">Метод сметных расчетов</w:t>
            </w:r>
            <w:r>
              <w:tab/>
            </w:r>
            <w:r>
              <w:fldChar w:fldCharType="begin"/>
            </w:r>
            <w:r>
              <w:instrText xml:space="preserve">PAGEREF _Toc12 \h</w:instrText>
            </w:r>
            <w:r>
              <w:fldChar w:fldCharType="separate"/>
            </w:r>
            <w:r>
              <w:t xml:space="preserve">13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13" w:anchor="_Toc13" w:history="1">
            <w:r>
              <w:t xml:space="preserve">13</w:t>
            </w:r>
            <w:r>
              <w:tab/>
            </w:r>
            <w:r>
              <w:rPr>
                <w:rStyle w:val="1432"/>
              </w:rPr>
              <w:t xml:space="preserve">Метод определения цен по аналогам</w:t>
            </w:r>
            <w:r>
              <w:tab/>
            </w:r>
            <w:r>
              <w:fldChar w:fldCharType="begin"/>
            </w:r>
            <w:r>
              <w:instrText xml:space="preserve">PAGEREF _Toc13 \h</w:instrText>
            </w:r>
            <w:r>
              <w:fldChar w:fldCharType="separate"/>
            </w:r>
            <w:r>
              <w:t xml:space="preserve">13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14" w:anchor="_Toc14" w:history="1">
            <w:r>
              <w:t xml:space="preserve">14</w:t>
            </w:r>
            <w:r>
              <w:tab/>
            </w:r>
            <w:r>
              <w:rPr>
                <w:rStyle w:val="1432"/>
              </w:rPr>
              <w:t xml:space="preserve">Затратный метод</w:t>
            </w:r>
            <w:r>
              <w:tab/>
            </w:r>
            <w:r>
              <w:fldChar w:fldCharType="begin"/>
            </w:r>
            <w:r>
              <w:instrText xml:space="preserve">PAGEREF _Toc14 \h</w:instrText>
            </w:r>
            <w:r>
              <w:fldChar w:fldCharType="separate"/>
            </w:r>
            <w:r>
              <w:t xml:space="preserve">14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15" w:anchor="_Toc15" w:history="1">
            <w:r>
              <w:t xml:space="preserve">15</w:t>
            </w:r>
            <w:r>
              <w:tab/>
            </w:r>
            <w:r>
              <w:rPr>
                <w:rStyle w:val="1432"/>
              </w:rPr>
              <w:t xml:space="preserve">Комбинированный метод</w:t>
            </w:r>
            <w:r>
              <w:tab/>
            </w:r>
            <w:r>
              <w:fldChar w:fldCharType="begin"/>
            </w:r>
            <w:r>
              <w:instrText xml:space="preserve">PAGEREF _Toc15 \h</w:instrText>
            </w:r>
            <w:r>
              <w:fldChar w:fldCharType="separate"/>
            </w:r>
            <w:r>
              <w:t xml:space="preserve">14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16" w:anchor="_Toc16" w:history="1">
            <w:r>
              <w:t xml:space="preserve">16</w:t>
            </w:r>
            <w:r>
              <w:tab/>
            </w:r>
            <w:r>
              <w:rPr>
                <w:rStyle w:val="1432"/>
              </w:rPr>
              <w:t xml:space="preserve">Иной метод</w:t>
            </w:r>
            <w:r>
              <w:tab/>
            </w:r>
            <w:r>
              <w:fldChar w:fldCharType="begin"/>
            </w:r>
            <w:r>
              <w:instrText xml:space="preserve">PAGEREF _Toc16 \h</w:instrText>
            </w:r>
            <w:r>
              <w:fldChar w:fldCharType="separate"/>
            </w:r>
            <w:r>
              <w:t xml:space="preserve">15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17" w:anchor="_Toc17" w:history="1">
            <w:r>
              <w:t xml:space="preserve">17</w:t>
            </w:r>
            <w:r>
              <w:tab/>
            </w:r>
            <w:r>
              <w:rPr>
                <w:rStyle w:val="1432"/>
              </w:rPr>
              <w:t xml:space="preserve">Особенности определения НМЦ договора методом сопоставимых рыночных цен (анализа рынка) при закупке консультационных услуг</w:t>
            </w:r>
            <w:r>
              <w:tab/>
            </w:r>
            <w:r>
              <w:fldChar w:fldCharType="begin"/>
            </w:r>
            <w:r>
              <w:instrText xml:space="preserve">PAGEREF _Toc17 \h</w:instrText>
            </w:r>
            <w:r>
              <w:fldChar w:fldCharType="separate"/>
            </w:r>
            <w:r>
              <w:t xml:space="preserve">15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426" w:hanging="426"/>
            <w:jc w:val="both"/>
            <w:tabs>
              <w:tab w:val="left" w:pos="0" w:leader="none"/>
              <w:tab w:val="clear" w:pos="426" w:leader="none"/>
            </w:tabs>
          </w:pPr>
          <w:r/>
          <w:hyperlink w:tooltip="#_Toc18" w:anchor="_Toc18" w:history="1">
            <w:r>
              <w:t xml:space="preserve">18</w:t>
            </w:r>
            <w:r>
              <w:tab/>
            </w:r>
            <w:r>
              <w:rPr>
                <w:rStyle w:val="1432"/>
              </w:rPr>
              <w:t xml:space="preserve">Типовые требования к расчету НМЦ на модернизацию систем учета электроэнергии </w:t>
            </w:r>
            <w:r>
              <w:rPr>
                <w:rStyle w:val="1432"/>
              </w:rPr>
              <w:br/>
              <w:t xml:space="preserve">с использованием нетарифных источников финансирования, за исключением договоров, финансируемых за счет средств финансовой поддержки</w:t>
            </w:r>
            <w:r>
              <w:tab/>
            </w:r>
            <w:r>
              <w:fldChar w:fldCharType="begin"/>
            </w:r>
            <w:r>
              <w:instrText xml:space="preserve">PAGEREF _Toc18 \h</w:instrText>
            </w:r>
            <w:r>
              <w:fldChar w:fldCharType="separate"/>
            </w:r>
            <w:r>
              <w:t xml:space="preserve">16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851" w:hanging="851"/>
            <w:jc w:val="both"/>
          </w:pPr>
          <w:r/>
          <w:hyperlink w:tooltip="#_Toc19" w:anchor="_Toc19" w:history="1">
            <w:r>
              <w:t xml:space="preserve">19</w:t>
            </w:r>
            <w:r>
              <w:tab/>
            </w:r>
            <w:r>
              <w:rPr>
                <w:rStyle w:val="1432"/>
              </w:rPr>
              <w:t xml:space="preserve">Ответственность</w:t>
            </w:r>
            <w:r>
              <w:tab/>
            </w:r>
            <w:r>
              <w:fldChar w:fldCharType="begin"/>
            </w:r>
            <w:r>
              <w:instrText xml:space="preserve">PAGEREF _Toc19 \h</w:instrText>
            </w:r>
            <w:r>
              <w:fldChar w:fldCharType="separate"/>
            </w:r>
            <w:r>
              <w:t xml:space="preserve">17</w:t>
            </w:r>
            <w:r>
              <w:fldChar w:fldCharType="end"/>
            </w:r>
          </w:hyperlink>
          <w:r/>
          <w:r/>
        </w:p>
        <w:p>
          <w:pPr>
            <w:pStyle w:val="1429"/>
            <w:jc w:val="both"/>
          </w:pPr>
          <w:r/>
          <w:hyperlink w:tooltip="#_Toc20" w:anchor="_Toc20" w:history="1">
            <w:r>
              <w:rPr>
                <w:rStyle w:val="1432"/>
              </w:rPr>
              <w:t xml:space="preserve">Приложение 1</w:t>
            </w:r>
          </w:hyperlink>
          <w:r>
            <w:t xml:space="preserve"> </w:t>
          </w:r>
          <w:hyperlink w:tooltip="#_Toc21" w:anchor="_Toc21" w:history="1">
            <w:r>
              <w:rPr>
                <w:rStyle w:val="1432"/>
              </w:rPr>
              <w:t xml:space="preserve">Форма обоснования начальной (максимальной) цены договора</w:t>
            </w:r>
            <w:r>
              <w:rPr>
                <w:rStyle w:val="1432"/>
              </w:rPr>
              <w:tab/>
            </w:r>
            <w:r>
              <w:fldChar w:fldCharType="begin"/>
            </w:r>
            <w:r>
              <w:instrText xml:space="preserve">PAGEREF _Toc21 \h</w:instrText>
            </w:r>
            <w:r>
              <w:fldChar w:fldCharType="separate"/>
            </w:r>
            <w:r>
              <w:t xml:space="preserve">18</w:t>
            </w:r>
            <w:r>
              <w:fldChar w:fldCharType="end"/>
            </w:r>
          </w:hyperlink>
          <w:r/>
          <w:r/>
        </w:p>
        <w:p>
          <w:pPr>
            <w:pStyle w:val="1429"/>
            <w:jc w:val="both"/>
          </w:pPr>
          <w:r/>
          <w:hyperlink w:tooltip="#_Toc22" w:anchor="_Toc22" w:history="1">
            <w:r>
              <w:rPr>
                <w:rStyle w:val="1432"/>
              </w:rPr>
              <w:t xml:space="preserve">Приложение 2</w:t>
            </w:r>
          </w:hyperlink>
          <w:r>
            <w:t xml:space="preserve"> </w:t>
          </w:r>
          <w:hyperlink w:tooltip="#_Toc23" w:anchor="_Toc23" w:history="1">
            <w:r>
              <w:rPr>
                <w:rStyle w:val="1432"/>
              </w:rPr>
              <w:t xml:space="preserve">Рекомендуемая форма запроса коммерческих предложений</w:t>
            </w:r>
            <w:r>
              <w:tab/>
            </w:r>
            <w:r>
              <w:fldChar w:fldCharType="begin"/>
            </w:r>
            <w:r>
              <w:instrText xml:space="preserve">PAGEREF _Toc23 \h</w:instrText>
            </w:r>
            <w:r>
              <w:fldChar w:fldCharType="separate"/>
            </w:r>
            <w:r>
              <w:t xml:space="preserve">27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1560" w:hanging="1560"/>
            <w:jc w:val="both"/>
          </w:pPr>
          <w:r/>
          <w:hyperlink w:tooltip="#_Toc24" w:anchor="_Toc24" w:history="1">
            <w:r>
              <w:rPr>
                <w:rStyle w:val="1432"/>
              </w:rPr>
              <w:t xml:space="preserve">Приложение 3</w:t>
            </w:r>
          </w:hyperlink>
          <w:r>
            <w:t xml:space="preserve"> </w:t>
          </w:r>
          <w:hyperlink w:tooltip="#_Toc25" w:anchor="_Toc25" w:history="1">
            <w:r>
              <w:rPr>
                <w:rStyle w:val="1432"/>
              </w:rPr>
              <w:t xml:space="preserve">Форма запроса коммерческих предложений при закупке консультационных </w:t>
            </w:r>
            <w:r>
              <w:rPr>
                <w:rStyle w:val="1432"/>
              </w:rPr>
              <w:br/>
              <w:t xml:space="preserve">услуг</w:t>
            </w:r>
            <w:r>
              <w:tab/>
            </w:r>
            <w:r>
              <w:fldChar w:fldCharType="begin"/>
            </w:r>
            <w:r>
              <w:instrText xml:space="preserve">PAGEREF _Toc25 \h</w:instrText>
            </w:r>
            <w:r>
              <w:fldChar w:fldCharType="separate"/>
            </w:r>
            <w:r>
              <w:t xml:space="preserve">28</w:t>
            </w:r>
            <w:r>
              <w:fldChar w:fldCharType="end"/>
            </w:r>
          </w:hyperlink>
          <w:r/>
          <w:r/>
        </w:p>
        <w:p>
          <w:pPr>
            <w:pStyle w:val="1429"/>
            <w:ind w:left="1560" w:hanging="1560"/>
            <w:jc w:val="both"/>
          </w:pPr>
          <w:r/>
          <w:hyperlink w:tooltip="#_Toc26" w:anchor="_Toc26" w:history="1">
            <w:r>
              <w:rPr>
                <w:rStyle w:val="1432"/>
                <w:rFonts w:eastAsiaTheme="majorEastAsia"/>
              </w:rPr>
              <w:t xml:space="preserve">Приложение 4</w:t>
            </w:r>
            <w:r>
              <w:t xml:space="preserve"> </w:t>
            </w:r>
          </w:hyperlink>
          <w:r/>
          <w:hyperlink w:tooltip="#_Toc27" w:anchor="_Toc27" w:history="1">
            <w:r>
              <w:rPr>
                <w:rStyle w:val="1432"/>
                <w:rFonts w:eastAsiaTheme="majorEastAsia"/>
              </w:rPr>
              <w:t xml:space="preserve">Форма протокола телефонных переговоров для определения начальной (максимальной) цены договора</w:t>
            </w:r>
            <w:r>
              <w:tab/>
            </w:r>
            <w:r>
              <w:fldChar w:fldCharType="begin"/>
            </w:r>
            <w:r>
              <w:instrText xml:space="preserve">PAGEREF _Toc27 \h</w:instrText>
            </w:r>
            <w:r>
              <w:fldChar w:fldCharType="separate"/>
            </w:r>
            <w:r>
              <w:t xml:space="preserve">31</w:t>
            </w:r>
            <w:r>
              <w:fldChar w:fldCharType="end"/>
            </w:r>
          </w:hyperlink>
          <w:r/>
          <w:r/>
        </w:p>
        <w:p>
          <w:pPr>
            <w:jc w:val="both"/>
            <w:widowControl/>
            <w:rPr>
              <w:b/>
              <w:bCs/>
              <w:color w:val="000000" w:themeColor="text1"/>
              <w:sz w:val="24"/>
              <w:szCs w:val="24"/>
            </w:rPr>
          </w:pPr>
          <w:r>
            <w:rPr>
              <w:bCs/>
              <w:color w:val="000000" w:themeColor="text1"/>
              <w:sz w:val="24"/>
              <w:szCs w:val="24"/>
              <w:lang w:eastAsia="en-US"/>
            </w:rPr>
            <w:fldChar w:fldCharType="end"/>
          </w:r>
          <w:r>
            <w:rPr>
              <w:b/>
              <w:bCs/>
              <w:color w:val="000000" w:themeColor="text1"/>
              <w:sz w:val="24"/>
              <w:szCs w:val="24"/>
            </w:rPr>
          </w:r>
          <w:r>
            <w:rPr>
              <w:b/>
              <w:bCs/>
              <w:color w:val="000000" w:themeColor="text1"/>
              <w:sz w:val="24"/>
              <w:szCs w:val="24"/>
            </w:rPr>
          </w:r>
        </w:p>
      </w:sdtContent>
    </w:sdt>
    <w:p>
      <w:pPr>
        <w:ind w:firstLine="567"/>
        <w:jc w:val="both"/>
        <w:widowControl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eastAsia="en-US"/>
        </w:rPr>
        <w:br w:type="page" w:clear="all"/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pStyle w:val="1365"/>
        <w:numPr>
          <w:ilvl w:val="0"/>
          <w:numId w:val="45"/>
        </w:numPr>
      </w:pPr>
      <w:r/>
      <w:bookmarkStart w:id="2" w:name="_Toc1"/>
      <w:r>
        <w:t xml:space="preserve">Назначение и область применения</w:t>
      </w:r>
      <w:bookmarkEnd w:id="2"/>
      <w:r/>
      <w:r/>
    </w:p>
    <w:p>
      <w:pPr>
        <w:ind w:firstLine="567"/>
        <w:jc w:val="both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Настоящее Положение:</w:t>
      </w:r>
      <w:r/>
    </w:p>
    <w:p>
      <w:pPr>
        <w:pStyle w:val="1410"/>
        <w:numPr>
          <w:ilvl w:val="2"/>
          <w:numId w:val="45"/>
        </w:numPr>
        <w:contextualSpacing w:val="0"/>
        <w:tabs>
          <w:tab w:val="left" w:pos="1134" w:leader="none"/>
        </w:tabs>
      </w:pPr>
      <w:r>
        <w:t xml:space="preserve">определяет общие требования к расчету начальной (максимальной) цены договора при проведении закупочных процедур и вводит методику определения начальной (максимальной) цены договора на поставляемые товары (выполняемые работы, оказываемые услуги);</w:t>
      </w:r>
      <w:r/>
    </w:p>
    <w:p>
      <w:pPr>
        <w:pStyle w:val="1410"/>
        <w:numPr>
          <w:ilvl w:val="2"/>
          <w:numId w:val="45"/>
        </w:numPr>
        <w:contextualSpacing w:val="0"/>
        <w:tabs>
          <w:tab w:val="left" w:pos="1134" w:leader="none"/>
        </w:tabs>
      </w:pPr>
      <w:r>
        <w:t xml:space="preserve">устанавливает:</w:t>
      </w:r>
      <w:r/>
    </w:p>
    <w:p>
      <w:pPr>
        <w:pStyle w:val="1410"/>
        <w:numPr>
          <w:ilvl w:val="1"/>
          <w:numId w:val="46"/>
        </w:numPr>
        <w:contextualSpacing w:val="0"/>
        <w:tabs>
          <w:tab w:val="left" w:pos="851" w:leader="none"/>
        </w:tabs>
      </w:pPr>
      <w:r>
        <w:t xml:space="preserve">основные стадии определения и изменения начальной (максимальной) цены договора при проведении закупочных процедур;</w:t>
      </w:r>
      <w:r/>
    </w:p>
    <w:p>
      <w:pPr>
        <w:pStyle w:val="1410"/>
        <w:numPr>
          <w:ilvl w:val="1"/>
          <w:numId w:val="46"/>
        </w:numPr>
        <w:contextualSpacing w:val="0"/>
        <w:tabs>
          <w:tab w:val="left" w:pos="851" w:leader="none"/>
        </w:tabs>
      </w:pPr>
      <w:r>
        <w:t xml:space="preserve">требования к хранению документов по расчету начальной (максимальной) цены договора и обосновывающих данный расчет материалов;</w:t>
      </w:r>
      <w:r/>
    </w:p>
    <w:p>
      <w:pPr>
        <w:pStyle w:val="1410"/>
        <w:numPr>
          <w:ilvl w:val="1"/>
          <w:numId w:val="46"/>
        </w:numPr>
        <w:contextualSpacing w:val="0"/>
        <w:tabs>
          <w:tab w:val="left" w:pos="851" w:leader="none"/>
        </w:tabs>
      </w:pPr>
      <w:r>
        <w:t xml:space="preserve">ответственность при формировании цены договора при проведении закупочных процедур.</w:t>
      </w:r>
      <w:r/>
    </w:p>
    <w:p>
      <w:pPr>
        <w:pStyle w:val="1410"/>
        <w:numPr>
          <w:ilvl w:val="2"/>
          <w:numId w:val="45"/>
        </w:numPr>
        <w:contextualSpacing w:val="0"/>
        <w:tabs>
          <w:tab w:val="left" w:pos="1134" w:leader="none"/>
        </w:tabs>
      </w:pPr>
      <w:r>
        <w:t xml:space="preserve">обеспечивает повышение прозрачности обоснования стоимости закупаемых товаров, работ, услуг.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Настоящее Положение предназначено для использования структурными подразделениями АО «Псковэнергоагент» (далее – Общество) при проведении закупочных процедур.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highlight w:val="none"/>
        </w:rPr>
        <w:t xml:space="preserve">Ответственность за разработку и актуализацию настоящего Положения несет </w:t>
      </w:r>
      <w:r>
        <w:rPr>
          <w:highlight w:val="none"/>
        </w:rPr>
        <w:t xml:space="preserve">административно-хозяйственная группа </w:t>
      </w:r>
      <w:r>
        <w:rPr>
          <w:highlight w:val="none"/>
        </w:rPr>
        <w:t xml:space="preserve">Общества (закупочная деятельность).</w:t>
      </w:r>
      <w:r/>
    </w:p>
    <w:p>
      <w:pPr>
        <w:ind w:firstLine="567"/>
        <w:jc w:val="both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365"/>
        <w:numPr>
          <w:ilvl w:val="0"/>
          <w:numId w:val="45"/>
        </w:numPr>
      </w:pPr>
      <w:r/>
      <w:bookmarkStart w:id="3" w:name="_Toc2"/>
      <w:r>
        <w:t xml:space="preserve">Нормативные ссылки</w:t>
      </w:r>
      <w:bookmarkEnd w:id="3"/>
      <w:r/>
      <w:r/>
    </w:p>
    <w:p>
      <w:pPr>
        <w:ind w:firstLine="567"/>
        <w:jc w:val="both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В настоящем Положении использованы ссылки на следующие нормативные документы: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Федеральный закон от 18.07.2011 № 223-ФЗ «О закупках товаров, работ, услуг отдельными видами юридических лиц» (далее – Закон 223-ФЗ);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 (далее – Закон 44-ФЗ);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Федеральный закон от 06.10.2003 № 131-ФЗ «Об общих принципах организации местного самоуправления в Российской Федерации» (далее </w:t>
      </w:r>
      <w:r>
        <w:rPr>
          <w:sz w:val="24"/>
          <w:szCs w:val="24"/>
          <w:lang w:eastAsia="en-US"/>
        </w:rPr>
        <w:t xml:space="preserve">–</w:t>
      </w:r>
      <w:r>
        <w:rPr>
          <w:sz w:val="24"/>
          <w:szCs w:val="24"/>
        </w:rPr>
        <w:t xml:space="preserve"> Закон № 131-ФЗ);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rPr>
          <w:sz w:val="24"/>
          <w:szCs w:val="24"/>
        </w:rPr>
      </w:pPr>
      <w:r/>
      <w:bookmarkStart w:id="4" w:name="ПП719"/>
      <w:r>
        <w:rPr>
          <w:bCs/>
          <w:sz w:val="24"/>
          <w:szCs w:val="24"/>
          <w:lang w:eastAsia="en-US"/>
        </w:rPr>
        <w:t xml:space="preserve">Постановление Правительства РФ от 17.07.2015 № 719 «О подтверждении производства промышленной продукции на территории Российской Федерации» (далее – П</w:t>
      </w:r>
      <w:r>
        <w:rPr>
          <w:sz w:val="24"/>
          <w:szCs w:val="24"/>
        </w:rPr>
        <w:t xml:space="preserve">остановление Правительства РФ от 17.07.2015 № 719</w:t>
      </w:r>
      <w:r>
        <w:rPr>
          <w:bCs/>
          <w:sz w:val="24"/>
          <w:szCs w:val="24"/>
          <w:lang w:eastAsia="en-US"/>
        </w:rPr>
        <w:t xml:space="preserve">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rPr>
          <w:sz w:val="24"/>
          <w:szCs w:val="24"/>
        </w:rPr>
      </w:pPr>
      <w:r/>
      <w:bookmarkStart w:id="5" w:name="ПП878"/>
      <w:r/>
      <w:bookmarkEnd w:id="4"/>
      <w:r>
        <w:rPr>
          <w:bCs/>
          <w:sz w:val="24"/>
          <w:szCs w:val="24"/>
          <w:lang w:eastAsia="en-US"/>
        </w:rPr>
        <w:t xml:space="preserve">Постановление Правительства РФ от 10.07.2019 № 878 «О мерах стимулирования производства радиоэлектронной продукции на территории Российской Федерации </w:t>
      </w:r>
      <w:r>
        <w:rPr>
          <w:bCs/>
          <w:sz w:val="24"/>
          <w:szCs w:val="24"/>
          <w:lang w:eastAsia="en-US"/>
        </w:rPr>
        <w:br/>
        <w:t xml:space="preserve">при осуществлении закупок товаров, работ, услуг для обеспечения государственных </w:t>
      </w:r>
      <w:r>
        <w:rPr>
          <w:bCs/>
          <w:sz w:val="24"/>
          <w:szCs w:val="24"/>
          <w:lang w:eastAsia="en-US"/>
        </w:rPr>
        <w:br/>
        <w:t xml:space="preserve">и муниципальных нужд, о внесении изменений в постановление Правительства Российской Федерации от 16 сентября</w:t>
      </w:r>
      <w:r>
        <w:rPr>
          <w:bCs/>
          <w:sz w:val="24"/>
          <w:szCs w:val="24"/>
          <w:lang w:eastAsia="en-US"/>
        </w:rPr>
        <w:t xml:space="preserve"> 2016 г. № 925 и признании утратившими силу некоторых актов Правительства Российской Федерации» (вместе с «Правилами формирования и ведения единого реестра российской радиоэлектронной продукции») (далее – Постановление Правительства РФ от 10.07.2019 № 878)</w:t>
      </w:r>
      <w:bookmarkEnd w:id="5"/>
      <w:r>
        <w:rPr>
          <w:bCs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Постановление Правительства Российской Федерации от 07.03.1995 № 239 «О мерах по упорядочению государственного регулированию цен (тарифов)» (далее – Постановление </w:t>
      </w:r>
      <w:r>
        <w:rPr>
          <w:sz w:val="24"/>
          <w:szCs w:val="24"/>
          <w:highlight w:val="none"/>
        </w:rPr>
        <w:t xml:space="preserve">Правительства РФ от 07.03.1995 № 239);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567"/>
        <w:jc w:val="both"/>
        <w:widowControl/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  <w:lang w:eastAsia="en-US"/>
        </w:rPr>
        <w:t xml:space="preserve">Приказ Минстроя России от 04.08.2020 № 421/пр «Об утверждении Методики определения сметной стоимости строительства, реконструкции, капитального</w:t>
      </w:r>
      <w:r>
        <w:rPr>
          <w:bCs/>
          <w:sz w:val="24"/>
          <w:szCs w:val="24"/>
          <w:highlight w:val="none"/>
          <w:lang w:eastAsia="en-US"/>
        </w:rPr>
        <w:t xml:space="preserve">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(далее – Приказ Минстроя России от 04.08.2020 № 421/пр.)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ind w:firstLine="567"/>
        <w:jc w:val="both"/>
        <w:widowControl/>
        <w:rPr>
          <w:sz w:val="24"/>
          <w:szCs w:val="24"/>
          <w:highlight w:val="yellow"/>
        </w:rPr>
      </w:pPr>
      <w:r>
        <w:rPr>
          <w:bCs/>
          <w:sz w:val="24"/>
          <w:szCs w:val="24"/>
          <w:highlight w:val="none"/>
          <w:lang w:eastAsia="en-US"/>
        </w:rPr>
        <w:t xml:space="preserve">Приказ Минэнерг</w:t>
      </w:r>
      <w:r>
        <w:rPr>
          <w:bCs/>
          <w:sz w:val="24"/>
          <w:szCs w:val="24"/>
          <w:highlight w:val="none"/>
          <w:lang w:eastAsia="en-US"/>
        </w:rPr>
        <w:t xml:space="preserve">о России от 26.02.2024 № 131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 (далее – Приказ Минэнерго России от 26.02.2024 № 131)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567"/>
        <w:jc w:val="both"/>
        <w:widowControl/>
        <w:rPr>
          <w:sz w:val="24"/>
          <w:szCs w:val="24"/>
        </w:rPr>
      </w:pPr>
      <w:r>
        <w:rPr>
          <w:sz w:val="24"/>
          <w:szCs w:val="24"/>
        </w:rPr>
        <w:t xml:space="preserve">Указание Банка России от 09.10.2025 N 7204-У «О страховых тарифах по обязательному страхованию гражданской ответственн</w:t>
      </w:r>
      <w:r>
        <w:rPr>
          <w:sz w:val="24"/>
          <w:szCs w:val="24"/>
        </w:rPr>
        <w:t xml:space="preserve">ости владельцев транспортных средств» (вместе с «Требованиями к структуре страховых тарифов по обязательному страхованию гражданской ответственности владельцев транспортных средств», «Порядком применения страховых тарифов по обязательному страхованию гражд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нской ответственности владельцев транспортных средств страховщиками при определении страховой премии по договору обязательного страхования гражданской ответственности владельцев транспортных средств») (далее – указание Банка России от 09.10.2025 N 7204-У);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Единый стандарт закупок ПАО «Россети» (Положение о закупке) (далее – Стандарт), утвержденный Советом директоров ПАО «Россети» 16.12.2024 (протокол № 671);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rPr>
          <w:sz w:val="24"/>
          <w:szCs w:val="24"/>
        </w:rPr>
      </w:pPr>
      <w:r>
        <w:rPr>
          <w:bCs/>
          <w:sz w:val="24"/>
          <w:szCs w:val="24"/>
          <w:lang w:eastAsia="en-US"/>
        </w:rPr>
        <w:t xml:space="preserve">Положение о Центральном закупочном органе АО «Псковэнергоагент» (далее – Положение о </w:t>
      </w:r>
      <w:r>
        <w:rPr>
          <w:bCs/>
          <w:sz w:val="24"/>
          <w:szCs w:val="24"/>
          <w:highlight w:val="none"/>
          <w:lang w:eastAsia="en-US"/>
        </w:rPr>
        <w:t xml:space="preserve">работе ЦЗО), утвержденное приказом Общества от 24.03.2023 № 72 </w:t>
      </w:r>
      <w:r>
        <w:rPr>
          <w:bCs/>
          <w:sz w:val="24"/>
          <w:szCs w:val="24"/>
          <w:highlight w:val="none"/>
          <w:lang w:eastAsia="en-US"/>
        </w:rPr>
        <w:t xml:space="preserve">(в действующей редакции)</w:t>
      </w:r>
      <w:r>
        <w:rPr>
          <w:bCs/>
          <w:sz w:val="24"/>
          <w:szCs w:val="24"/>
          <w:highlight w:val="none"/>
          <w:lang w:eastAsia="en-US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</w:pPr>
      <w:r/>
      <w:bookmarkStart w:id="6" w:name="_Toc3"/>
      <w:r>
        <w:t xml:space="preserve">Обозначения и сокращения</w:t>
      </w:r>
      <w:bookmarkEnd w:id="6"/>
      <w:r/>
      <w:r/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В настоящем Положении используются следующие обозначения и сокращения: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  <w:lang w:eastAsia="en-US"/>
        </w:rPr>
        <w:t xml:space="preserve">АХГ – </w:t>
      </w:r>
      <w:r>
        <w:rPr>
          <w:sz w:val="24"/>
          <w:szCs w:val="24"/>
          <w:highlight w:val="none"/>
          <w:lang w:eastAsia="en-US"/>
        </w:rPr>
        <w:t xml:space="preserve">административно-хозяйственная группа Общества </w:t>
      </w:r>
      <w:r>
        <w:rPr>
          <w:sz w:val="24"/>
          <w:szCs w:val="24"/>
          <w:highlight w:val="none"/>
          <w:lang w:eastAsia="en-US"/>
        </w:rPr>
        <w:t xml:space="preserve">(закупочная деятельность)</w:t>
      </w:r>
      <w:r>
        <w:rPr>
          <w:sz w:val="24"/>
          <w:szCs w:val="24"/>
          <w:highlight w:val="none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  <w:highlight w:val="none"/>
          <w:lang w:eastAsia="en-US"/>
        </w:rPr>
      </w:pPr>
      <w:r>
        <w:rPr>
          <w:sz w:val="24"/>
          <w:szCs w:val="24"/>
          <w:lang w:eastAsia="en-US"/>
        </w:rPr>
        <w:t xml:space="preserve">БДР – бюджет доходов и расходов;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ДПН – бюджет движения денежной наличности;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ЕИС – единая информационная система в сфере закупок по адресу в сети Интернет «www.zakupki.gov.ru»;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ЗиП – запасные части, инструменты и принадлежности;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ЗНПЗ – запрос на проведение закупки;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КП – коммерческое предложение;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НМЦ – начальная (максимальная) цена договора (цена лота);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НПА – нормативно-правовой акт;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ОРД – организационно-распорядительный документ;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ПЗ – план закупки;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ССРСС – сводный сметный расчет стоимости строительства;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  <w:lang w:eastAsia="en-US"/>
        </w:rPr>
        <w:t xml:space="preserve">СЭДО – система электронного документооборота;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  <w:highlight w:val="none"/>
          <w:lang w:eastAsia="en-US"/>
        </w:rPr>
      </w:pPr>
      <w:r>
        <w:rPr>
          <w:sz w:val="24"/>
          <w:szCs w:val="24"/>
          <w:lang w:eastAsia="en-US"/>
        </w:rPr>
        <w:t xml:space="preserve">ТЗ – техническое задание;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ЦЗО – </w:t>
      </w:r>
      <w:r>
        <w:rPr>
          <w:sz w:val="24"/>
          <w:szCs w:val="24"/>
          <w:lang w:eastAsia="en-US"/>
        </w:rPr>
        <w:t xml:space="preserve">Центральный закупочный орган</w:t>
      </w:r>
      <w:r>
        <w:rPr>
          <w:sz w:val="24"/>
          <w:szCs w:val="24"/>
          <w:lang w:eastAsia="en-US"/>
        </w:rPr>
        <w:t xml:space="preserve"> Общества;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ЦФО – центр финансовой ответственности.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ЭЭ – электроэнергия.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</w:pPr>
      <w:r/>
      <w:bookmarkStart w:id="7" w:name="_Toc4"/>
      <w:r>
        <w:t xml:space="preserve">Термины и определения</w:t>
      </w:r>
      <w:bookmarkEnd w:id="7"/>
      <w:r/>
      <w:r/>
    </w:p>
    <w:p>
      <w:pPr>
        <w:ind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В настоящем Положении применены следующие термины с соответствующими определениями: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</w:rPr>
      </w:r>
      <w:r>
        <w:rPr>
          <w:i/>
        </w:rPr>
        <w:t xml:space="preserve">Запрос на проведение закупки - </w:t>
      </w:r>
      <w:r>
        <w:rPr>
          <w:i w:val="0"/>
          <w:iCs w:val="0"/>
        </w:rPr>
        <w:t xml:space="preserve">документ в СЭДО, состоящий из служебной записки с полным комплектом документов (техническое задание (в редактируемом и утвержденном вариантах), проект договора, согласованный в соответствии с действующими ОРД Общества, обо</w:t>
      </w:r>
      <w:r>
        <w:rPr>
          <w:i w:val="0"/>
          <w:iCs w:val="0"/>
        </w:rPr>
        <w:t xml:space="preserve">снование НМЦ), направляемый на имя </w:t>
      </w:r>
      <w:r>
        <w:rPr>
          <w:i w:val="0"/>
          <w:iCs w:val="0"/>
          <w:highlight w:val="none"/>
        </w:rPr>
        <w:t xml:space="preserve">Председателя ЦЗО</w:t>
      </w:r>
      <w:r>
        <w:rPr>
          <w:i w:val="0"/>
          <w:iCs w:val="0"/>
          <w:highlight w:val="none"/>
        </w:rPr>
        <w:t xml:space="preserve"> </w:t>
      </w:r>
      <w:r>
        <w:rPr>
          <w:i w:val="0"/>
          <w:iCs w:val="0"/>
        </w:rPr>
        <w:t xml:space="preserve">Общества для подготовки к проведению закупки конкурентным или неконкурентным способом</w:t>
      </w:r>
      <w:r>
        <w:t xml:space="preserve">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rPr>
          <w:i/>
        </w:rPr>
        <w:t xml:space="preserve">Инициатор закупки</w:t>
      </w:r>
      <w:r>
        <w:t xml:space="preserve"> – структурное подразделение, ответственное за контроль заключения и исполнения договора и/или ответственный ЦФО, являющийся фактическим потребителем </w:t>
      </w:r>
      <w:r>
        <w:rPr>
          <w:highlight w:val="none"/>
        </w:rPr>
        <w:t xml:space="preserve">продукции, приобретаемой по итогам проведения соответствующей закупки.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  <w:highlight w:val="none"/>
        </w:rPr>
        <w:t xml:space="preserve">Консультационные услуги </w:t>
      </w:r>
      <w:r>
        <w:rPr>
          <w:highlight w:val="none"/>
        </w:rPr>
        <w:t xml:space="preserve">– консультационные и и</w:t>
      </w:r>
      <w:r>
        <w:rPr>
          <w:highlight w:val="none"/>
        </w:rPr>
        <w:t xml:space="preserve">ные аналогичные услуги сторонних организаций, оказываемые Обществу, а также услуги, результатом оказания которых являются разработанные методики, рекомендации, научные исследования, нормативы и прочая нормативно-техническая и методологическая документация.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</w:rPr>
        <w:t xml:space="preserve">Коммерческое предложение</w:t>
      </w:r>
      <w:r>
        <w:t xml:space="preserve"> – предложение о поставке / выполнении работ / оказании услуг, в котором изложены существенные условия договора о цене, сроках, условиях, месте и порядке поставки/выполнения работ/оказания услуг.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</w:rPr>
        <w:t xml:space="preserve">Максимальное значение цены договора</w:t>
      </w:r>
      <w:r>
        <w:t xml:space="preserve"> – предельная стоимость (лимит финансирования по договору), устанавливаемая при проведении закупки товаров, работ, услуг на право заключения договоров по единичным расценкам или с определением формулы цены в рамках лимита Бизнес-плана Общества.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</w:rPr>
        <w:t xml:space="preserve">Минимальная рыночная цена</w:t>
      </w:r>
      <w:r>
        <w:t xml:space="preserve"> – ценовое предложение, представленное в коммерческом предложении одного из потенциальных поставщиков (исполнителей, подрядчиков), имеющее минимальную итоговую стоимость всей закупаемой продукции.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</w:rPr>
        <w:t xml:space="preserve">Начальная (максимальная) цена договора (цена лота)</w:t>
      </w:r>
      <w:r>
        <w:t xml:space="preserve"> – максимально допустимая стоимость закупки, превышение которой является основанием для отклонения заявки в соответствии с условиями извещения о закупке и (или) документации о закупке. </w:t>
      </w:r>
      <w:r/>
    </w:p>
    <w:p>
      <w:pPr>
        <w:ind w:firstLine="567"/>
        <w:jc w:val="both"/>
        <w:tabs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случаях отсутствия возможнос</w:t>
      </w:r>
      <w:r>
        <w:rPr>
          <w:sz w:val="24"/>
          <w:szCs w:val="24"/>
        </w:rPr>
        <w:t xml:space="preserve">ти определения точного объема закупаемой продукции при проведении закупочной процедуры на определение цены единицы товара, в качестве начальной (максимальная) цены договора определяется максимальное значение цены договора с обоснованием единичных расценок.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left" w:pos="992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случаях отсутствия возможности определения всех расходов, предусмотренных в рамках исполнения договора, заключаемого по результатам закупки, начальная (максимальная) цена договора может определяться как максимальное значение цены договора с </w:t>
      </w:r>
      <w:r>
        <w:rPr>
          <w:sz w:val="24"/>
          <w:szCs w:val="24"/>
        </w:rPr>
        <w:t xml:space="preserve">определением формулы цены, устанавливающей правила расчета сумм, подлежащих </w:t>
      </w:r>
      <w:r>
        <w:rPr>
          <w:bCs/>
          <w:sz w:val="24"/>
          <w:szCs w:val="24"/>
        </w:rPr>
        <w:t xml:space="preserve">уплате заказчиком поставщику (исполнителю, подрядчику) в ходе исполнения данного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</w:rPr>
        <w:t xml:space="preserve">Организатор закупки</w:t>
      </w:r>
      <w:r>
        <w:t xml:space="preserve"> – структурное подразделение Общества, выполняющее функции по проведению закупочной процедуры.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</w:rPr>
        <w:t xml:space="preserve">Правила хранения</w:t>
      </w:r>
      <w:r>
        <w:t xml:space="preserve"> – действующие в Обществе правила организации хранения, комплектования, учета и использования архивных документов.</w:t>
      </w:r>
      <w:r>
        <w:rPr>
          <w:highlight w:val="none"/>
        </w:rPr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  <w:highlight w:val="none"/>
        </w:rPr>
        <w:t xml:space="preserve">Продукция </w:t>
      </w:r>
      <w:r>
        <w:rPr>
          <w:highlight w:val="none"/>
        </w:rPr>
        <w:t xml:space="preserve">– товары, работы, услуги, приобретаемые Обществом на возмездной осно</w:t>
      </w:r>
      <w:r>
        <w:t xml:space="preserve">ве.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</w:rPr>
        <w:t xml:space="preserve">Цена единицы товара, работы, услуги</w:t>
      </w:r>
      <w:r>
        <w:t xml:space="preserve"> – стоимостной показатель, определяющий стоимость одной единицы поставляемого товара, выполняемой работы или оказываемой услуги, который применяется, если невозможно определить количество требуемого товара (работы, услуги).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</w:rPr>
        <w:t xml:space="preserve">Центр финансовой ответственности</w:t>
      </w:r>
      <w:r>
        <w:t xml:space="preserve"> – элемент финансовой структуры Общества (структурное подразделение Общества или группа структурных подразделений), способное целенаправленно на этапах планирования и исполнения планов влиять н</w:t>
      </w:r>
      <w:r>
        <w:t xml:space="preserve">а платежеспособность Общества путем согласования платежей и поступлений денежных средств в документах в рамках установленных бюджетных лимитов ДПН, находящихся в сфере ответственности, закрепленных за ним приказом Общества (Классификатор статей БДР и ДПН).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rPr>
          <w:i/>
        </w:rPr>
        <w:t xml:space="preserve">Формула цены договора</w:t>
      </w:r>
      <w:r>
        <w:t xml:space="preserve"> – правила расчета сумм, подлежащих уплате заказчиком поставщику (исполнителю, подрядчику) в ходе исполнения договора.</w:t>
      </w:r>
      <w:r/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</w:pPr>
      <w:r/>
      <w:bookmarkStart w:id="8" w:name="_Toc5"/>
      <w:r>
        <w:t xml:space="preserve">Общие положения</w:t>
      </w:r>
      <w:bookmarkEnd w:id="8"/>
      <w:r/>
      <w:r/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Начальная (максимальная) цена договора, либо цен</w:t>
      </w:r>
      <w:r>
        <w:t xml:space="preserve">а единицы товара и максимальное значение цены договора, либо формула цены договора и максимальное значение цены договора формируется в соответствии с настоящим Положением, Стандартом, нормами Закона 223-ФЗ, ОРД Общества и иными нормативно-правовыми актами.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Обоснование НМЦ формируется на этапе подготовки к проведению закупки, когда осуществлены действия в соответствии с </w:t>
      </w:r>
      <w:r>
        <w:rPr>
          <w:color w:val="0000ff"/>
          <w:u w:val="single"/>
        </w:rPr>
        <w:t xml:space="preserve">пунктом 2.4 приложения 6 Стандарта</w:t>
      </w:r>
      <w:r>
        <w:t xml:space="preserve"> (сформированы </w:t>
      </w:r>
      <w:r>
        <w:t xml:space="preserve">техническое задание (далее – ТЗ), проект договора, требования к продукции), и подлежит документальному оформлению в соответствии с </w:t>
      </w:r>
      <w:hyperlink w:tooltip="#р6" w:anchor="р6" w:history="1">
        <w:r>
          <w:rPr>
            <w:color w:val="0000ff"/>
            <w:u w:val="single"/>
          </w:rPr>
          <w:t xml:space="preserve">разделом 6</w:t>
        </w:r>
      </w:hyperlink>
      <w:r>
        <w:t xml:space="preserve"> настоящего Положения.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Положение не применяется:</w:t>
      </w:r>
      <w:r/>
    </w:p>
    <w:p>
      <w:pPr>
        <w:pStyle w:val="1410"/>
        <w:numPr>
          <w:ilvl w:val="0"/>
          <w:numId w:val="12"/>
        </w:numPr>
        <w:contextualSpacing w:val="0"/>
        <w:tabs>
          <w:tab w:val="left" w:pos="850" w:leader="none"/>
        </w:tabs>
      </w:pPr>
      <w:r>
        <w:t xml:space="preserve">при осуществлении закупки в соответствии с правилами, предусмотренными Законом № 44-ФЗ;</w:t>
      </w:r>
      <w:r/>
    </w:p>
    <w:p>
      <w:pPr>
        <w:pStyle w:val="1410"/>
        <w:numPr>
          <w:ilvl w:val="0"/>
          <w:numId w:val="12"/>
        </w:numPr>
        <w:contextualSpacing w:val="0"/>
        <w:tabs>
          <w:tab w:val="left" w:pos="850" w:leader="none"/>
        </w:tabs>
      </w:pPr>
      <w:r>
        <w:t xml:space="preserve">в иных случаях, когда в соответствии с требованиями законодательства Общество обязано применять иной порядок определения НМЦ;</w:t>
      </w:r>
      <w:r/>
    </w:p>
    <w:p>
      <w:pPr>
        <w:pStyle w:val="1410"/>
        <w:numPr>
          <w:ilvl w:val="0"/>
          <w:numId w:val="12"/>
        </w:numPr>
        <w:contextualSpacing w:val="0"/>
        <w:tabs>
          <w:tab w:val="left" w:pos="850" w:leader="none"/>
        </w:tabs>
      </w:pPr>
      <w:r>
        <w:t xml:space="preserve">в случае, когда внутренними ОРД определен иной порядок определения НМЦ.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В случ</w:t>
      </w:r>
      <w:r>
        <w:t xml:space="preserve">ае проведения закупки товаров, работ, услуг на право заключения договоров по единичным расценкам или с определением формулы цены, максимальное значение цены договора устанавливается в пределах лимита финансирования, предусмотренного Бизнес-планом Общества.</w:t>
      </w:r>
      <w:r/>
    </w:p>
    <w:p>
      <w:pPr>
        <w:ind w:firstLine="567"/>
        <w:jc w:val="both"/>
        <w:tabs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</w:t>
      </w:r>
      <w:r>
        <w:rPr>
          <w:sz w:val="24"/>
          <w:szCs w:val="24"/>
          <w:lang w:eastAsia="en-US"/>
        </w:rPr>
        <w:t xml:space="preserve">и этом для закупок, проводимых способом «сравнение цен», в разделе «особенности рынка» необходимо подтвердить соответствие максимального значения цены договора сумме расходов, заложенных на приобретение данных товаров, работ, услуг в Бизнес-план Общества. </w:t>
      </w:r>
      <w:r>
        <w:rPr>
          <w:sz w:val="24"/>
          <w:szCs w:val="24"/>
          <w:lang w:eastAsia="en-US"/>
        </w:rPr>
        <w:br/>
        <w:t xml:space="preserve">При необходимости проведения дополнительной закупки однородной продукции способом «сравнение цен» необходимо в разделе «особенности рынка» подтвердить факт того, что потребность </w:t>
      </w:r>
      <w:r>
        <w:rPr>
          <w:sz w:val="24"/>
          <w:szCs w:val="24"/>
          <w:lang w:eastAsia="en-US"/>
        </w:rPr>
        <w:t xml:space="preserve">в дополнительной закупке такой продукции на плановый период ранее была не известна, либо существовали препятствия технологического или экономического характера, не позволяющие провести одну процедуру для закупки всего объема требуемой однородной продукции.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В случае проведения закупки среди победителей закупочных процедур, с которыми заключены Рамочные соглашения о дальнейше</w:t>
      </w:r>
      <w:r>
        <w:t xml:space="preserve">м взаимодействии с Обществом, проведение мониторинга рынка и определения НМЦ по таким закупкам следует осуществлять среди имеющегося количества победителей. Однако при необходимости можно использовать иные источники информации, полученные в соответствии с </w:t>
      </w:r>
      <w:hyperlink w:tooltip="#раздел8" w:anchor="раздел8" w:history="1">
        <w:r>
          <w:t xml:space="preserve">разделом 8</w:t>
        </w:r>
      </w:hyperlink>
      <w:r>
        <w:t xml:space="preserve"> Положения.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Учет и хранение документов, копий документов, связанных с обоснованием НМЦ, и обосновывающих материалов осуществляется в структурном подразделении Инициатора в электронном виде в соответствии с правилами хранения.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 Во всем, что не предусмотрено настоящим Положением, необходимо руководствоваться Стандартом.</w:t>
      </w:r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</w:pPr>
      <w:r/>
      <w:bookmarkStart w:id="9" w:name="р6"/>
      <w:r/>
      <w:bookmarkStart w:id="10" w:name="_Ref32924029"/>
      <w:r/>
      <w:bookmarkStart w:id="11" w:name="_Ref32924056"/>
      <w:r/>
      <w:bookmarkStart w:id="12" w:name="_Ref32924308"/>
      <w:r/>
      <w:bookmarkStart w:id="13" w:name="_Toc6"/>
      <w:r/>
      <w:bookmarkEnd w:id="9"/>
      <w:r>
        <w:t xml:space="preserve">Порядок формирования НМЦ</w:t>
      </w:r>
      <w:bookmarkEnd w:id="10"/>
      <w:r/>
      <w:bookmarkEnd w:id="11"/>
      <w:r/>
      <w:bookmarkEnd w:id="12"/>
      <w:r/>
      <w:bookmarkEnd w:id="13"/>
      <w:r/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t xml:space="preserve">Обоснование начальной (максимальной) цены договора (далее – Обоснование НМЦ) </w:t>
      </w:r>
      <w:r>
        <w:rPr>
          <w:highlight w:val="none"/>
        </w:rPr>
        <w:t xml:space="preserve">составляется по форме </w:t>
      </w:r>
      <w:hyperlink w:tooltip="#Приложение1" w:anchor="Приложение1" w:history="1">
        <w:r>
          <w:rPr>
            <w:color w:val="0000ff"/>
            <w:highlight w:val="none"/>
            <w:u w:val="single"/>
          </w:rPr>
          <w:t xml:space="preserve">приложения 1</w:t>
        </w:r>
      </w:hyperlink>
      <w:r>
        <w:rPr>
          <w:color w:val="0000ff"/>
          <w:highlight w:val="none"/>
          <w:u w:val="single"/>
        </w:rPr>
        <w:t xml:space="preserve"> к настоящему Положению</w:t>
      </w:r>
      <w:r>
        <w:rPr>
          <w:highlight w:val="none"/>
        </w:rPr>
        <w:t xml:space="preserve">, к нему прикладывается расчет НМЦ, соответствующий методу определения НМЦ, по форме</w:t>
      </w:r>
      <w:r>
        <w:rPr>
          <w:highlight w:val="none"/>
        </w:rPr>
        <w:t xml:space="preserve"> </w:t>
      </w:r>
      <w:hyperlink w:tooltip="#Приложение1_1" w:anchor="Приложение1_1" w:history="1">
        <w:r>
          <w:rPr>
            <w:color w:val="0000ff"/>
            <w:highlight w:val="none"/>
            <w:u w:val="single"/>
          </w:rPr>
          <w:t xml:space="preserve">приложений 1.1–1.5</w:t>
        </w:r>
      </w:hyperlink>
      <w:r>
        <w:rPr>
          <w:highlight w:val="none"/>
        </w:rPr>
        <w:t xml:space="preserve"> или в иной форме, созданной самостоятельно с учетом параметров, влияющих на НМЦ, а также документы, на основании которых выполнен расчет в соответствии с требованиями метода определения НМЦ (</w:t>
      </w:r>
      <w:hyperlink w:tooltip="#раздел8" w:anchor="раздел8" w:history="1">
        <w:r>
          <w:rPr>
            <w:color w:val="0000ff"/>
            <w:highlight w:val="none"/>
            <w:u w:val="single"/>
          </w:rPr>
          <w:t xml:space="preserve">разделы 8</w:t>
        </w:r>
        <w:r>
          <w:rPr>
            <w:highlight w:val="none"/>
          </w:rPr>
          <w:t xml:space="preserve">–</w:t>
        </w:r>
        <w:r>
          <w:rPr>
            <w:color w:val="0000ff"/>
            <w:highlight w:val="none"/>
            <w:u w:val="single"/>
          </w:rPr>
          <w:t xml:space="preserve">17</w:t>
        </w:r>
      </w:hyperlink>
      <w:r>
        <w:rPr>
          <w:highlight w:val="none"/>
        </w:rPr>
        <w:t xml:space="preserve"> Положения). Обоснование НМЦ и приложения к нему формируются Инициатором закупки.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/>
      <w:bookmarkStart w:id="14" w:name="П6_2"/>
      <w:r/>
      <w:bookmarkStart w:id="15" w:name="_Ref32924134"/>
      <w:r/>
      <w:bookmarkEnd w:id="14"/>
      <w:r>
        <w:t xml:space="preserve">Обоснование НМЦ по закупкам Общества согласовы</w:t>
      </w:r>
      <w:r>
        <w:rPr>
          <w:highlight w:val="none"/>
        </w:rPr>
        <w:t xml:space="preserve">вается </w:t>
      </w:r>
      <w:r>
        <w:rPr>
          <w:highlight w:val="none"/>
        </w:rPr>
        <w:t xml:space="preserve">в СЭДО </w:t>
      </w:r>
      <w:bookmarkEnd w:id="15"/>
      <w:r>
        <w:t xml:space="preserve">руководителем Инициатора закупки;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Обоснование НМЦ по закупкам Общества утверждается генеральным директором Общества или </w:t>
      </w:r>
      <w:r>
        <w:t xml:space="preserve">директором по учёту и отчётности</w:t>
      </w:r>
      <w:r>
        <w:t xml:space="preserve"> Общества.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Обоснование НМЦ считается согласованным, если получено согласование запроса на проведение закупки (далее – ЗНПЗ) от лиц, указанных в </w:t>
      </w:r>
      <w:hyperlink w:tooltip="#П6_2" w:anchor="П6_2" w:history="1">
        <w:r>
          <w:rPr>
            <w:color w:val="0000ff"/>
            <w:u w:val="single"/>
          </w:rPr>
          <w:t xml:space="preserve">пункте 6.2</w:t>
        </w:r>
      </w:hyperlink>
      <w:r>
        <w:t xml:space="preserve"> </w:t>
      </w:r>
      <w:r>
        <w:t xml:space="preserve">Положения.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Утверждение Обоснования НМЦ осуществляется </w:t>
      </w:r>
      <w:r>
        <w:t xml:space="preserve">собственноручно на бумажном носителе. Скан-образ Обоснования НМЦ необходимо приложить в ЗНПЗ в СЭДО.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Согласующие лица имеют право не согласовывать Обоснование НМЦ в случае отсутствия обосновывающих материалов или их предоставления не по форме, установленной в настоящем Положении.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/>
      <w:bookmarkStart w:id="17" w:name="_Ref32924170"/>
      <w:r>
        <w:t xml:space="preserve">В случае необходимости проверки расчета НМЦ с привлечением независимого внешнего оценщика порядок такой проверки определяется внутренними ОРД Общества. 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/>
      <w:bookmarkStart w:id="18" w:name="П6_10"/>
      <w:r/>
      <w:bookmarkEnd w:id="17"/>
      <w:r/>
      <w:bookmarkEnd w:id="18"/>
      <w:r>
        <w:t xml:space="preserve">Актуализация Обоснован</w:t>
      </w:r>
      <w:r>
        <w:t xml:space="preserve">ия НМЦ подразумевает под собой проверку соответствия методики расчета НМЦ действующим ОРД Общества, Стандарту, нормам Закона 223-ФЗ и иным НПА, проверку и актуализацию (при необходимости) документов, на основании которых был проведен расчет, корректировку </w:t>
      </w:r>
      <w:r>
        <w:t xml:space="preserve">(при необходимости) расчета НМЦ. Если стоимость продукции изменилась, Инициатор проводит повторный расчет НМЦ, в противном случае Инициатор прикладывает документ в свободной форме об актуальности расчета НМЦ или отражает эту информацию в самом расчете НМЦ.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/>
      <w:bookmarkStart w:id="19" w:name="П6_11"/>
      <w:r/>
      <w:bookmarkEnd w:id="19"/>
      <w:r>
        <w:t xml:space="preserve">Актуализация Обоснования НМЦ и прилагаемых к нему документов (расчеты, КП), сметы и т.д.) производится в следующих случаях:</w:t>
      </w:r>
      <w:r/>
    </w:p>
    <w:p>
      <w:pPr>
        <w:pStyle w:val="1410"/>
        <w:numPr>
          <w:ilvl w:val="0"/>
          <w:numId w:val="31"/>
        </w:numPr>
        <w:contextualSpacing w:val="0"/>
        <w:tabs>
          <w:tab w:val="left" w:pos="850" w:leader="none"/>
        </w:tabs>
      </w:pPr>
      <w:r>
        <w:t xml:space="preserve">с момента утверждения обоснования НМЦ прошло более 6 месяцев;</w:t>
      </w:r>
      <w:r/>
    </w:p>
    <w:p>
      <w:pPr>
        <w:pStyle w:val="1410"/>
        <w:numPr>
          <w:ilvl w:val="0"/>
          <w:numId w:val="31"/>
        </w:numPr>
        <w:contextualSpacing w:val="0"/>
        <w:tabs>
          <w:tab w:val="left" w:pos="850" w:leader="none"/>
        </w:tabs>
      </w:pPr>
      <w:r>
        <w:t xml:space="preserve">необходимо провести корректировку физического объема и/или состава работ, услуг;</w:t>
      </w:r>
      <w:r/>
    </w:p>
    <w:p>
      <w:pPr>
        <w:pStyle w:val="1410"/>
        <w:numPr>
          <w:ilvl w:val="0"/>
          <w:numId w:val="31"/>
        </w:numPr>
        <w:contextualSpacing w:val="0"/>
        <w:tabs>
          <w:tab w:val="left" w:pos="850" w:leader="none"/>
        </w:tabs>
      </w:pPr>
      <w:r>
        <w:t xml:space="preserve">у Инициатора закупки имеется подтвержденная информация (официальные обращения / уведомления от потенциальных поставщиков/подрядчиков/исполнителей) о росте либо снижении цен на планируемые к приобретению товары, работы, услуги;</w:t>
      </w:r>
      <w:r/>
    </w:p>
    <w:p>
      <w:pPr>
        <w:pStyle w:val="1410"/>
        <w:numPr>
          <w:ilvl w:val="0"/>
          <w:numId w:val="31"/>
        </w:numPr>
        <w:contextualSpacing w:val="0"/>
        <w:tabs>
          <w:tab w:val="left" w:pos="850" w:leader="none"/>
        </w:tabs>
      </w:pPr>
      <w:r>
        <w:t xml:space="preserve">в случае получения отрицательного заключения о размере НМЦ от независимог</w:t>
      </w:r>
      <w:r>
        <w:t xml:space="preserve">о оценщика, с которым у Общества заключен договор на соответствующие услуги. В случае, когда Инициатор закупки не согласен с решением независимого оценщика, вопрос о корректировке цены выносится на рассмотрение ЦЗО в соответствии с Положением о работе ЦЗО.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Инициатор закупки перед направлением на согласование ЗНПЗ должен проверить Обоснование НМЦ на актуальность в соответствии с требованиями </w:t>
      </w:r>
      <w:hyperlink w:tooltip="#П6_11" w:anchor="П6_11" w:history="1">
        <w:r>
          <w:rPr>
            <w:color w:val="0000ff"/>
            <w:u w:val="single"/>
          </w:rPr>
          <w:t xml:space="preserve">пункта 6.9</w:t>
        </w:r>
      </w:hyperlink>
      <w:r>
        <w:t xml:space="preserve"> Положения.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/>
      <w:bookmarkStart w:id="20" w:name="П6_12"/>
      <w:r/>
      <w:bookmarkEnd w:id="20"/>
      <w:r>
        <w:t xml:space="preserve">В случае необходимости внесения изменений в ТЗ, проект договора по объявленной закупке в части изменений требований: </w:t>
      </w:r>
      <w:r/>
    </w:p>
    <w:p>
      <w:pPr>
        <w:pStyle w:val="1410"/>
        <w:numPr>
          <w:ilvl w:val="0"/>
          <w:numId w:val="32"/>
        </w:numPr>
        <w:contextualSpacing w:val="0"/>
        <w:tabs>
          <w:tab w:val="left" w:pos="850" w:leader="none"/>
        </w:tabs>
      </w:pPr>
      <w:r>
        <w:t xml:space="preserve">к продукции, </w:t>
      </w:r>
      <w:r/>
    </w:p>
    <w:p>
      <w:pPr>
        <w:pStyle w:val="1410"/>
        <w:numPr>
          <w:ilvl w:val="0"/>
          <w:numId w:val="32"/>
        </w:numPr>
        <w:contextualSpacing w:val="0"/>
        <w:tabs>
          <w:tab w:val="left" w:pos="850" w:leader="none"/>
        </w:tabs>
      </w:pPr>
      <w:r>
        <w:t xml:space="preserve">к месту, срокам (графику) поставки продукции, </w:t>
      </w:r>
      <w:r/>
    </w:p>
    <w:p>
      <w:pPr>
        <w:pStyle w:val="1410"/>
        <w:numPr>
          <w:ilvl w:val="0"/>
          <w:numId w:val="32"/>
        </w:numPr>
        <w:contextualSpacing w:val="0"/>
        <w:tabs>
          <w:tab w:val="left" w:pos="850" w:leader="none"/>
        </w:tabs>
      </w:pPr>
      <w:r>
        <w:t xml:space="preserve">к условиям оплаты продукции, </w:t>
      </w:r>
      <w:r/>
    </w:p>
    <w:p>
      <w:pPr>
        <w:pStyle w:val="1410"/>
        <w:numPr>
          <w:ilvl w:val="0"/>
          <w:numId w:val="32"/>
        </w:numPr>
        <w:contextualSpacing w:val="0"/>
        <w:tabs>
          <w:tab w:val="left" w:pos="850" w:leader="none"/>
        </w:tabs>
      </w:pPr>
      <w:r>
        <w:t xml:space="preserve">к участникам закупки,</w:t>
      </w:r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Инициатор закупки осуществляет оценку влияния вносимых изменений на величину НМЦ (в том числе на единичные расценки) и направляет обращение об изменении НМЦ на имя руководителя подразделения, ответственного за проведение закупки</w:t>
      </w:r>
      <w:r>
        <w:rPr>
          <w:sz w:val="24"/>
          <w:szCs w:val="24"/>
        </w:rPr>
        <w:t xml:space="preserve">. В случае, если внесенные изменения не влияют на НМЦ (в том числе на единичные расценки), такое обращение не направляется.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Если вносимые изменения согласно </w:t>
      </w:r>
      <w:hyperlink w:tooltip="#П6_12" w:anchor="П6_12" w:history="1">
        <w:r>
          <w:rPr>
            <w:color w:val="0000ff"/>
            <w:u w:val="single"/>
          </w:rPr>
          <w:t xml:space="preserve">пункту 6.11</w:t>
        </w:r>
      </w:hyperlink>
      <w:r>
        <w:t xml:space="preserve"> Положения влияют на НМЦ закупки, Инициатор закупки проводит ее повторный расчет.</w:t>
      </w:r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</w:pPr>
      <w:r/>
      <w:bookmarkStart w:id="21" w:name="_Методы_определения_НМЦ"/>
      <w:r/>
      <w:bookmarkStart w:id="22" w:name="_Toc7"/>
      <w:r/>
      <w:bookmarkEnd w:id="21"/>
      <w:r>
        <w:t xml:space="preserve">Методы определения НМЦ договора</w:t>
      </w:r>
      <w:bookmarkEnd w:id="22"/>
      <w:r/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НМЦ договора определяется следующими методами: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4"/>
        </w:numPr>
        <w:ind w:left="0" w:firstLine="567"/>
        <w:jc w:val="both"/>
        <w:widowControl/>
        <w:tabs>
          <w:tab w:val="left" w:pos="850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метод сопоставимых рыночных цен (анализа рынка) применяется согласно разделу 8 Положения, а для закупок консультационных услуг, в том числе юридических консультаций (заключений, экспертиз и т.п.), с учетом особенностей </w:t>
      </w:r>
      <w:hyperlink w:tooltip="#_17_Особенн" w:anchor="_17_Особенн" w:history="1">
        <w:r>
          <w:rPr>
            <w:rStyle w:val="1432"/>
            <w:sz w:val="24"/>
            <w:szCs w:val="24"/>
            <w:lang w:eastAsia="en-US"/>
          </w:rPr>
          <w:t xml:space="preserve">раздела 17</w:t>
        </w:r>
      </w:hyperlink>
      <w:r>
        <w:rPr>
          <w:sz w:val="24"/>
          <w:szCs w:val="24"/>
          <w:lang w:eastAsia="en-US"/>
        </w:rPr>
        <w:t xml:space="preserve"> Положения;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4"/>
        </w:numPr>
        <w:ind w:left="0" w:firstLine="567"/>
        <w:jc w:val="both"/>
        <w:widowControl/>
        <w:tabs>
          <w:tab w:val="left" w:pos="850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нормативный метод согласно </w:t>
      </w:r>
      <w:hyperlink w:tooltip="#Р9" w:anchor="Р9" w:history="1">
        <w:r>
          <w:rPr>
            <w:color w:val="0000ff"/>
            <w:sz w:val="24"/>
            <w:szCs w:val="24"/>
            <w:u w:val="single"/>
            <w:lang w:eastAsia="en-US"/>
          </w:rPr>
          <w:t xml:space="preserve">разделу 9</w:t>
        </w:r>
      </w:hyperlink>
      <w:r>
        <w:rPr>
          <w:sz w:val="24"/>
          <w:szCs w:val="24"/>
          <w:lang w:eastAsia="en-US"/>
        </w:rPr>
        <w:t xml:space="preserve"> Положения;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4"/>
        </w:numPr>
        <w:ind w:left="0" w:firstLine="567"/>
        <w:jc w:val="both"/>
        <w:widowControl/>
        <w:tabs>
          <w:tab w:val="left" w:pos="850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тарифный метод согласно </w:t>
      </w:r>
      <w:hyperlink w:tooltip="#Р10" w:anchor="Р10" w:history="1">
        <w:r>
          <w:rPr>
            <w:color w:val="0000ff"/>
            <w:sz w:val="24"/>
            <w:szCs w:val="24"/>
            <w:u w:val="single"/>
            <w:lang w:eastAsia="en-US"/>
          </w:rPr>
          <w:t xml:space="preserve">разделу 10</w:t>
        </w:r>
      </w:hyperlink>
      <w:r>
        <w:rPr>
          <w:sz w:val="24"/>
          <w:szCs w:val="24"/>
          <w:lang w:eastAsia="en-US"/>
        </w:rPr>
        <w:t xml:space="preserve"> Положения;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4"/>
        </w:numPr>
        <w:ind w:left="0" w:firstLine="567"/>
        <w:jc w:val="both"/>
        <w:widowControl/>
        <w:tabs>
          <w:tab w:val="left" w:pos="850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проектно-сметный метод согласно </w:t>
      </w:r>
      <w:hyperlink w:tooltip="#Р11" w:anchor="Р11" w:history="1">
        <w:r>
          <w:rPr>
            <w:color w:val="0000ff"/>
            <w:sz w:val="24"/>
            <w:szCs w:val="24"/>
            <w:highlight w:val="none"/>
            <w:u w:val="single"/>
            <w:lang w:eastAsia="en-US"/>
          </w:rPr>
          <w:t xml:space="preserve">разделу 11</w:t>
        </w:r>
      </w:hyperlink>
      <w:r>
        <w:rPr>
          <w:sz w:val="24"/>
          <w:szCs w:val="24"/>
          <w:highlight w:val="none"/>
          <w:lang w:eastAsia="en-US"/>
        </w:rPr>
        <w:t xml:space="preserve"> Положения;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2"/>
          <w:numId w:val="4"/>
        </w:numPr>
        <w:ind w:left="0" w:firstLine="567"/>
        <w:jc w:val="both"/>
        <w:widowControl/>
        <w:tabs>
          <w:tab w:val="left" w:pos="850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метод сметных расчетов согласно </w:t>
      </w:r>
      <w:hyperlink w:tooltip="#Р12" w:anchor="Р12" w:history="1">
        <w:r>
          <w:rPr>
            <w:color w:val="0000ff"/>
            <w:sz w:val="24"/>
            <w:szCs w:val="24"/>
            <w:highlight w:val="none"/>
            <w:u w:val="single"/>
            <w:lang w:eastAsia="en-US"/>
          </w:rPr>
          <w:t xml:space="preserve">разделу 12</w:t>
        </w:r>
      </w:hyperlink>
      <w:r>
        <w:rPr>
          <w:sz w:val="24"/>
          <w:szCs w:val="24"/>
          <w:highlight w:val="none"/>
          <w:lang w:eastAsia="en-US"/>
        </w:rPr>
        <w:t xml:space="preserve"> Положения;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2"/>
          <w:numId w:val="4"/>
        </w:numPr>
        <w:ind w:left="0" w:firstLine="567"/>
        <w:jc w:val="both"/>
        <w:widowControl/>
        <w:tabs>
          <w:tab w:val="left" w:pos="850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метод определения цен по аналогам согласно </w:t>
      </w:r>
      <w:hyperlink w:tooltip="#Р13" w:anchor="Р13" w:history="1">
        <w:r>
          <w:rPr>
            <w:color w:val="0000ff"/>
            <w:sz w:val="24"/>
            <w:szCs w:val="24"/>
            <w:highlight w:val="none"/>
            <w:u w:val="single"/>
            <w:lang w:eastAsia="en-US"/>
          </w:rPr>
          <w:t xml:space="preserve">разделу 13</w:t>
        </w:r>
      </w:hyperlink>
      <w:r>
        <w:rPr>
          <w:sz w:val="24"/>
          <w:szCs w:val="24"/>
          <w:highlight w:val="none"/>
          <w:lang w:eastAsia="en-US"/>
        </w:rPr>
        <w:t xml:space="preserve"> Положения;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2"/>
          <w:numId w:val="4"/>
        </w:numPr>
        <w:ind w:left="0" w:firstLine="567"/>
        <w:jc w:val="both"/>
        <w:widowControl/>
        <w:tabs>
          <w:tab w:val="left" w:pos="850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затратный метод согласно </w:t>
      </w:r>
      <w:hyperlink w:tooltip="#Р14" w:anchor="Р14" w:history="1">
        <w:r>
          <w:rPr>
            <w:color w:val="0000ff"/>
            <w:sz w:val="24"/>
            <w:szCs w:val="24"/>
            <w:u w:val="single"/>
            <w:lang w:eastAsia="en-US"/>
          </w:rPr>
          <w:t xml:space="preserve">разделу 14</w:t>
        </w:r>
      </w:hyperlink>
      <w:r>
        <w:rPr>
          <w:sz w:val="24"/>
          <w:szCs w:val="24"/>
          <w:lang w:eastAsia="en-US"/>
        </w:rPr>
        <w:t xml:space="preserve"> Положения;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4"/>
        </w:numPr>
        <w:ind w:left="0" w:firstLine="567"/>
        <w:jc w:val="both"/>
        <w:widowControl/>
        <w:tabs>
          <w:tab w:val="left" w:pos="850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комбинированный метод согласно </w:t>
      </w:r>
      <w:hyperlink w:tooltip="#Р15" w:anchor="Р15" w:history="1">
        <w:r>
          <w:rPr>
            <w:color w:val="0000ff"/>
            <w:sz w:val="24"/>
            <w:szCs w:val="24"/>
            <w:u w:val="single"/>
            <w:lang w:eastAsia="en-US"/>
          </w:rPr>
          <w:t xml:space="preserve">разделу 15</w:t>
        </w:r>
      </w:hyperlink>
      <w:r>
        <w:rPr>
          <w:sz w:val="24"/>
          <w:szCs w:val="24"/>
          <w:lang w:eastAsia="en-US"/>
        </w:rPr>
        <w:t xml:space="preserve"> Положения;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4"/>
        </w:numPr>
        <w:ind w:left="0" w:firstLine="567"/>
        <w:jc w:val="both"/>
        <w:widowControl/>
        <w:tabs>
          <w:tab w:val="left" w:pos="850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иной метод согласно </w:t>
      </w:r>
      <w:hyperlink w:tooltip="#Р16" w:anchor="Р16" w:history="1">
        <w:r>
          <w:rPr>
            <w:sz w:val="24"/>
            <w:szCs w:val="24"/>
            <w:lang w:eastAsia="en-US"/>
          </w:rPr>
          <w:t xml:space="preserve">разделу 16</w:t>
        </w:r>
      </w:hyperlink>
      <w:r>
        <w:rPr>
          <w:sz w:val="24"/>
          <w:szCs w:val="24"/>
          <w:lang w:eastAsia="en-US"/>
        </w:rPr>
        <w:t xml:space="preserve"> Положения.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/>
      <w:bookmarkStart w:id="23" w:name="_Ref32924046"/>
      <w:r/>
      <w:bookmarkStart w:id="24" w:name="_Ref32924069"/>
      <w:r/>
      <w:bookmarkStart w:id="25" w:name="_Ref32924405"/>
      <w:r/>
      <w:bookmarkStart w:id="26" w:name="_Ref329256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</w:pPr>
      <w:r/>
      <w:bookmarkStart w:id="27" w:name="раздел8"/>
      <w:r/>
      <w:bookmarkStart w:id="28" w:name="_Toc8"/>
      <w:r/>
      <w:bookmarkEnd w:id="27"/>
      <w:r>
        <w:t xml:space="preserve">Метод сопоставимых рыночных цен (анализа рынка)</w:t>
      </w:r>
      <w:bookmarkEnd w:id="28"/>
      <w:r/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Метод сопоставимых рыночных цен (анализа рынка) з</w:t>
      </w:r>
      <w:r>
        <w:t xml:space="preserve">аключается в определении НМЦ на основании информации о рыночных ценах продукции, соответствующей требованиям к продукции. Для Обоснования НМЦ необходимо собрать информацию о рыночных ценах на продукцию и на основании этой информации произвести расчет НМЦ. 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Для получения информации о рыночных ценах на продукцию Инициатор закупки выполняет действия, указанные в </w:t>
      </w:r>
      <w:hyperlink w:tooltip="#П8_3_1" w:anchor="П8_3_1" w:history="1">
        <w:r>
          <w:rPr>
            <w:color w:val="0000ff"/>
            <w:u w:val="single"/>
          </w:rPr>
          <w:t xml:space="preserve">пункте 8.2.1</w:t>
        </w:r>
      </w:hyperlink>
      <w:r>
        <w:t xml:space="preserve"> Положения. В случаях, если получено менее 3 (трех) КП Инициатор закупки может использовать источники ценовой информации, указанные </w:t>
      </w:r>
      <w:r>
        <w:br/>
        <w:t xml:space="preserve">в </w:t>
      </w:r>
      <w:hyperlink w:tooltip="#П8_3_2" w:anchor="П8_3_2" w:history="1">
        <w:r>
          <w:rPr>
            <w:color w:val="0000ff"/>
            <w:u w:val="single"/>
          </w:rPr>
          <w:t xml:space="preserve">пункте 8.2.2</w:t>
        </w:r>
      </w:hyperlink>
      <w:r>
        <w:t xml:space="preserve"> Положения, взамен КП (в таких случаях Инициатор закупки в форме расчета НМЦ </w:t>
      </w:r>
      <w:r>
        <w:br/>
        <w:t xml:space="preserve">в разделе «особенности рынка» предоставляет отчет о проделанных действиях и обосновывает отсутствие КП.</w:t>
      </w:r>
      <w:bookmarkStart w:id="29" w:name="П8_3_1"/>
      <w:r/>
      <w:bookmarkEnd w:id="29"/>
      <w:r/>
      <w:r/>
    </w:p>
    <w:p>
      <w:pPr>
        <w:pStyle w:val="1410"/>
        <w:numPr>
          <w:ilvl w:val="2"/>
          <w:numId w:val="45"/>
        </w:numPr>
        <w:contextualSpacing w:val="0"/>
        <w:tabs>
          <w:tab w:val="left" w:pos="1134" w:leader="none"/>
        </w:tabs>
      </w:pPr>
      <w:r>
        <w:t xml:space="preserve">Составление запроса о предоставлении информации о ценах продукции по форме </w:t>
      </w:r>
      <w:hyperlink w:tooltip="#Приложение2" w:anchor="Приложение2" w:history="1">
        <w:r>
          <w:rPr>
            <w:color w:val="0000ff"/>
            <w:u w:val="single"/>
          </w:rPr>
          <w:t xml:space="preserve">приложения </w:t>
        </w:r>
      </w:hyperlink>
      <w:r>
        <w:rPr>
          <w:color w:val="0000ff"/>
          <w:u w:val="single"/>
        </w:rPr>
        <w:t xml:space="preserve">2</w:t>
      </w:r>
      <w:r>
        <w:t xml:space="preserve"> и направление не менее 3 (трем) участникам рынка, специализирующимся на поставке требуемой продукции, информация о которых имеется в свободном доступе (в частности, </w:t>
      </w:r>
      <w:r>
        <w:t xml:space="preserve">опубликована в печати, размещена на сайтах в информационно-телекоммуникационной сети «Интернет»). При этом запросы о предоставлении информации о ценах продукции направляются через официальные каналы с регистрацией через делопроизводство и должны содержать:</w:t>
      </w:r>
      <w:r/>
    </w:p>
    <w:p>
      <w:pPr>
        <w:pStyle w:val="1410"/>
        <w:numPr>
          <w:ilvl w:val="0"/>
          <w:numId w:val="33"/>
        </w:numPr>
        <w:contextualSpacing w:val="0"/>
        <w:ind w:left="0" w:firstLine="567"/>
        <w:tabs>
          <w:tab w:val="left" w:pos="850" w:leader="none"/>
        </w:tabs>
      </w:pPr>
      <w:r>
        <w:t xml:space="preserve">подробное описание закупаемой продукции включая требования к закупаемой продукции, указание единицы измерения, количества, объем;</w:t>
      </w:r>
      <w:r/>
    </w:p>
    <w:p>
      <w:pPr>
        <w:pStyle w:val="1410"/>
        <w:numPr>
          <w:ilvl w:val="0"/>
          <w:numId w:val="33"/>
        </w:numPr>
        <w:contextualSpacing w:val="0"/>
        <w:ind w:left="0" w:firstLine="567"/>
        <w:tabs>
          <w:tab w:val="left" w:pos="850" w:leader="none"/>
        </w:tabs>
      </w:pPr>
      <w:r>
        <w:t xml:space="preserve">требования по месту, срокам (графику) поставки, условия оплаты продукции;</w:t>
      </w:r>
      <w:r/>
    </w:p>
    <w:p>
      <w:pPr>
        <w:pStyle w:val="1410"/>
        <w:numPr>
          <w:ilvl w:val="0"/>
          <w:numId w:val="33"/>
        </w:numPr>
        <w:contextualSpacing w:val="0"/>
        <w:ind w:left="0" w:firstLine="567"/>
        <w:tabs>
          <w:tab w:val="left" w:pos="850" w:leader="none"/>
        </w:tabs>
      </w:pPr>
      <w:r>
        <w:t xml:space="preserve">сроки </w:t>
      </w:r>
      <w:r>
        <w:t xml:space="preserve">и формат предоставления поставщиками в адрес Общества информации о цене на продукцию, в том числе обязательное требование о предоставлении цены каждой единицы продукции, являющейся предметом закупки, срок действия предлагаемой цены, дополнительные затраты;</w:t>
      </w:r>
      <w:r/>
    </w:p>
    <w:p>
      <w:pPr>
        <w:pStyle w:val="1410"/>
        <w:numPr>
          <w:ilvl w:val="0"/>
          <w:numId w:val="33"/>
        </w:numPr>
        <w:contextualSpacing w:val="0"/>
        <w:ind w:left="0" w:firstLine="567"/>
        <w:tabs>
          <w:tab w:val="left" w:pos="850" w:leader="none"/>
        </w:tabs>
      </w:pPr>
      <w:r>
        <w:t xml:space="preserve">указание, что проведение данной процедуры сбора информации не влечет за собой возникновение каких-либо обязательств заказчика и поставщика.</w:t>
      </w:r>
      <w:r/>
    </w:p>
    <w:p>
      <w:pPr>
        <w:pStyle w:val="1410"/>
        <w:numPr>
          <w:ilvl w:val="2"/>
          <w:numId w:val="45"/>
        </w:numPr>
        <w:contextualSpacing w:val="0"/>
        <w:tabs>
          <w:tab w:val="left" w:pos="1134" w:leader="none"/>
        </w:tabs>
      </w:pPr>
      <w:r/>
      <w:bookmarkStart w:id="30" w:name="_8.2.2_Иниц"/>
      <w:r/>
      <w:bookmarkStart w:id="31" w:name="П8_3_2"/>
      <w:r/>
      <w:bookmarkEnd w:id="30"/>
      <w:r/>
      <w:bookmarkEnd w:id="31"/>
      <w:r>
        <w:t xml:space="preserve">Инициатор закупки может получить дополнительную ценовую информацию, совершив следующие действия</w:t>
      </w:r>
      <w:r>
        <w:rPr>
          <w:vertAlign w:val="superscript"/>
        </w:rPr>
        <w:footnoteReference w:id="2"/>
      </w:r>
      <w:r>
        <w:t xml:space="preserve">:</w:t>
      </w:r>
      <w:r/>
    </w:p>
    <w:p>
      <w:pPr>
        <w:pStyle w:val="1410"/>
        <w:numPr>
          <w:ilvl w:val="1"/>
          <w:numId w:val="5"/>
        </w:numPr>
        <w:contextualSpacing w:val="0"/>
        <w:widowControl w:val="off"/>
        <w:tabs>
          <w:tab w:val="left" w:pos="992" w:leader="none"/>
        </w:tabs>
      </w:pPr>
      <w:r/>
      <w:bookmarkStart w:id="32" w:name="_Ref32924670"/>
      <w:r/>
      <w:bookmarkStart w:id="33" w:name="_Ref149652224"/>
      <w:r/>
      <w:bookmarkStart w:id="34" w:name="_Ref150852639"/>
      <w:r>
        <w:t xml:space="preserve">осуществить поиск информации о ценах продукции в закупках, проведенных в соответствии с требованиями Закона 223-ФЗ и Закона 44-ФЗ, информация о которых размещена в </w:t>
      </w:r>
      <w:hyperlink r:id="rId26" w:tooltip="https://zakupki.gov.ru/epz/order/extendedsearch/results.html" w:history="1">
        <w:r>
          <w:rPr>
            <w:color w:val="0000ff"/>
            <w:u w:val="single"/>
          </w:rPr>
          <w:t xml:space="preserve">ЕИС</w:t>
        </w:r>
      </w:hyperlink>
      <w:r>
        <w:t xml:space="preserve">, при этом для целей определения НМЦ может использоваться информация о ценах участника, с которым заключается договор по итогам проведения закупки.</w:t>
      </w:r>
      <w:bookmarkEnd w:id="32"/>
      <w:r/>
      <w:bookmarkEnd w:id="33"/>
      <w:r/>
      <w:bookmarkEnd w:id="34"/>
      <w:r/>
      <w:r/>
    </w:p>
    <w:p>
      <w:pPr>
        <w:pStyle w:val="1410"/>
        <w:numPr>
          <w:ilvl w:val="1"/>
          <w:numId w:val="5"/>
        </w:numPr>
        <w:contextualSpacing w:val="0"/>
        <w:widowControl w:val="off"/>
        <w:tabs>
          <w:tab w:val="left" w:pos="992" w:leader="none"/>
        </w:tabs>
      </w:pPr>
      <w:r/>
      <w:bookmarkStart w:id="35" w:name="_Ref32924689"/>
      <w:r>
        <w:t xml:space="preserve">осуществить поиск информации о рыночных ценах продукции в </w:t>
      </w:r>
      <w:hyperlink r:id="rId27" w:tooltip="https://zakupki.gov.ru/epz/contractfz223/search/results.html" w:history="1">
        <w:r>
          <w:rPr>
            <w:color w:val="0000ff"/>
            <w:u w:val="single"/>
          </w:rPr>
          <w:t xml:space="preserve">едином реестре договоров</w:t>
        </w:r>
      </w:hyperlink>
      <w:r>
        <w:t xml:space="preserve">, ведение которого предусмотрено для заказчиков, осуществляющих закупки в соответствии </w:t>
      </w:r>
      <w:r>
        <w:br/>
        <w:t xml:space="preserve">с Законом 223-ФЗ, в </w:t>
      </w:r>
      <w:hyperlink r:id="rId28" w:tooltip="https://zakupki.gov.ru/epz/contract/search/results.html" w:history="1">
        <w:r>
          <w:rPr>
            <w:color w:val="0000ff"/>
            <w:u w:val="single"/>
          </w:rPr>
          <w:t xml:space="preserve">едином реестре государственных и муниципальных контрактов</w:t>
        </w:r>
      </w:hyperlink>
      <w:r>
        <w:t xml:space="preserve">, ведение которого предусмотрено в соответствии с Законом 44-ФЗ. При этом целесообразно принимать </w:t>
      </w:r>
      <w:r>
        <w:br/>
      </w:r>
      <w:r>
        <w:t xml:space="preserve">в расчет информацию о ценах продукции, содержащуюся в договорах/контрактах, которые сопоставимы по своим существенным условиям проекту договора;</w:t>
      </w:r>
      <w:bookmarkEnd w:id="35"/>
      <w:r/>
      <w:r/>
    </w:p>
    <w:p>
      <w:pPr>
        <w:pStyle w:val="1410"/>
        <w:numPr>
          <w:ilvl w:val="1"/>
          <w:numId w:val="5"/>
        </w:numPr>
        <w:contextualSpacing w:val="0"/>
        <w:widowControl w:val="off"/>
        <w:tabs>
          <w:tab w:val="left" w:pos="992" w:leader="none"/>
        </w:tabs>
      </w:pPr>
      <w:r>
        <w:t xml:space="preserve">осуществить сбор и анализ общедоступной информации о рыночных ценах продукции, к которой относится в том числе:</w:t>
      </w:r>
      <w:r/>
    </w:p>
    <w:p>
      <w:pPr>
        <w:pStyle w:val="1410"/>
        <w:numPr>
          <w:ilvl w:val="0"/>
          <w:numId w:val="34"/>
        </w:numPr>
        <w:contextualSpacing w:val="0"/>
        <w:ind w:left="0" w:firstLine="567"/>
        <w:tabs>
          <w:tab w:val="left" w:pos="850" w:leader="none"/>
        </w:tabs>
      </w:pPr>
      <w:r>
        <w:t xml:space="preserve">информация о ценах продукции, содержащаяся в рекламе, каталогах, описаниях товаров и в других предложениях, обращенных к неопределенному кругу лиц, в том числе признаваемых в соответствии с гражданским законодательством публичной офертой;</w:t>
      </w:r>
      <w:r/>
    </w:p>
    <w:p>
      <w:pPr>
        <w:pStyle w:val="1410"/>
        <w:numPr>
          <w:ilvl w:val="0"/>
          <w:numId w:val="34"/>
        </w:numPr>
        <w:contextualSpacing w:val="0"/>
        <w:ind w:left="0" w:firstLine="567"/>
        <w:tabs>
          <w:tab w:val="left" w:pos="850" w:leader="none"/>
        </w:tabs>
      </w:pPr>
      <w:r>
        <w:t xml:space="preserve">информация о котировках на российских и иностранных биржах;</w:t>
      </w:r>
      <w:r/>
    </w:p>
    <w:p>
      <w:pPr>
        <w:pStyle w:val="1410"/>
        <w:numPr>
          <w:ilvl w:val="0"/>
          <w:numId w:val="34"/>
        </w:numPr>
        <w:contextualSpacing w:val="0"/>
        <w:ind w:left="0" w:firstLine="567"/>
        <w:tabs>
          <w:tab w:val="left" w:pos="850" w:leader="none"/>
        </w:tabs>
      </w:pPr>
      <w:r>
        <w:t xml:space="preserve">информация о ценах на продукцию на электронных площадках;</w:t>
      </w:r>
      <w:r/>
    </w:p>
    <w:p>
      <w:pPr>
        <w:pStyle w:val="1410"/>
        <w:numPr>
          <w:ilvl w:val="0"/>
          <w:numId w:val="34"/>
        </w:numPr>
        <w:contextualSpacing w:val="0"/>
        <w:ind w:left="0" w:firstLine="567"/>
        <w:tabs>
          <w:tab w:val="left" w:pos="850" w:leader="none"/>
        </w:tabs>
      </w:pPr>
      <w:r>
        <w:t xml:space="preserve">данные государственной статистической отчетности о ценах товаров, работ, услуг за последний календарный год, предшествующий периоду определения НМЦ.</w:t>
      </w:r>
      <w:r/>
    </w:p>
    <w:p>
      <w:pPr>
        <w:pStyle w:val="1410"/>
        <w:numPr>
          <w:ilvl w:val="1"/>
          <w:numId w:val="5"/>
        </w:numPr>
        <w:contextualSpacing w:val="0"/>
        <w:widowControl w:val="off"/>
        <w:tabs>
          <w:tab w:val="left" w:pos="992" w:leader="none"/>
        </w:tabs>
      </w:pPr>
      <w:r>
        <w:t xml:space="preserve">осуществить поиск информации о ценах продукции, содержащейся в официальных источниках информации уполномоченных государственных органов и муниципальных органов в соответстви</w:t>
      </w:r>
      <w:r>
        <w:t xml:space="preserve">и с законодательством Российской Федерации, законодательством субъектов Российской Федерации, правовыми актами муниципальных образований, в официальных источниках информации иностранных государств, международных организаций или иных общедоступных изданиях;</w:t>
      </w:r>
      <w:r/>
    </w:p>
    <w:p>
      <w:pPr>
        <w:pStyle w:val="1410"/>
        <w:numPr>
          <w:ilvl w:val="1"/>
          <w:numId w:val="5"/>
        </w:numPr>
        <w:contextualSpacing w:val="0"/>
        <w:widowControl w:val="off"/>
        <w:tabs>
          <w:tab w:val="left" w:pos="992" w:leader="none"/>
        </w:tabs>
      </w:pPr>
      <w:r>
        <w:t xml:space="preserve">если применимо, осуществить поиск информации о рыночной стоимости объектов оценки, определенной в соответствии с законодательством, регулирующим оценочную деятельность в Российской Федерации;</w:t>
      </w:r>
      <w:r/>
    </w:p>
    <w:p>
      <w:pPr>
        <w:pStyle w:val="1410"/>
        <w:numPr>
          <w:ilvl w:val="1"/>
          <w:numId w:val="5"/>
        </w:numPr>
        <w:contextualSpacing w:val="0"/>
        <w:widowControl w:val="off"/>
        <w:tabs>
          <w:tab w:val="left" w:pos="992" w:leader="none"/>
        </w:tabs>
      </w:pPr>
      <w:r>
        <w:t xml:space="preserve">при возможности использовать информацию информационно-ценовых агентств;</w:t>
      </w:r>
      <w:r/>
    </w:p>
    <w:p>
      <w:pPr>
        <w:pStyle w:val="1410"/>
        <w:numPr>
          <w:ilvl w:val="1"/>
          <w:numId w:val="5"/>
        </w:numPr>
        <w:contextualSpacing w:val="0"/>
        <w:widowControl w:val="off"/>
        <w:tabs>
          <w:tab w:val="left" w:pos="992" w:leader="none"/>
        </w:tabs>
      </w:pPr>
      <w:r>
        <w:t xml:space="preserve">использовать иные источники информации.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Не рекомендуется использовать для расчета НМЦ информацию:</w:t>
      </w:r>
      <w:r/>
    </w:p>
    <w:p>
      <w:pPr>
        <w:pStyle w:val="1410"/>
        <w:numPr>
          <w:ilvl w:val="0"/>
          <w:numId w:val="39"/>
        </w:numPr>
        <w:contextualSpacing w:val="0"/>
        <w:widowControl w:val="off"/>
        <w:tabs>
          <w:tab w:val="left" w:pos="992" w:leader="none"/>
        </w:tabs>
      </w:pPr>
      <w:r>
        <w:t xml:space="preserve">полученную из анонимных источников;</w:t>
      </w:r>
      <w:r/>
    </w:p>
    <w:p>
      <w:pPr>
        <w:pStyle w:val="1410"/>
        <w:numPr>
          <w:ilvl w:val="0"/>
          <w:numId w:val="39"/>
        </w:numPr>
        <w:contextualSpacing w:val="0"/>
        <w:widowControl w:val="off"/>
        <w:tabs>
          <w:tab w:val="left" w:pos="992" w:leader="none"/>
        </w:tabs>
      </w:pPr>
      <w:r>
        <w:t xml:space="preserve">содержащуюся в документах, полученных Обществом по его запросам и не соответствующих требованиям, установленным Обществом к содержанию таких документов;</w:t>
      </w:r>
      <w:r/>
    </w:p>
    <w:p>
      <w:pPr>
        <w:pStyle w:val="1410"/>
        <w:numPr>
          <w:ilvl w:val="0"/>
          <w:numId w:val="39"/>
        </w:numPr>
        <w:contextualSpacing w:val="0"/>
        <w:widowControl w:val="off"/>
        <w:tabs>
          <w:tab w:val="left" w:pos="992" w:leader="none"/>
        </w:tabs>
      </w:pPr>
      <w:r>
        <w:t xml:space="preserve">представл</w:t>
      </w:r>
      <w:r>
        <w:t xml:space="preserve">енную лицами, не обладающими специальными допусками, разрешениями, лицензиями и прочими разрешительными документами, в случае, если в соответствии с законодательством для поставки продукции требуется наличие таких документов (при наличии такой информации).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Не допускается для расчета НМЦ использовать информацию, представленную лицами, сведения о которых включены в реестр недобросовестных поставщиков согласно Закону 223-ФЗ и/или Закону 44-ФЗ.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При поступлении двух или более коммерческих предложений от аффилированных участников рынка в рамках одного расчета НМЦ, к рассмотрению принимается только одно из указанных предложений, содержащее наименьшую цену.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Расчет НМЦ производится на основании не менее 3 (трех) цен продукции, полученных не ранее 6 (шести) месяцев до даты направления на согласование Обоснования НМЦ</w:t>
      </w:r>
      <w:r>
        <w:rPr>
          <w:vertAlign w:val="superscript"/>
        </w:rPr>
        <w:footnoteReference w:id="3"/>
      </w:r>
      <w:r>
        <w:t xml:space="preserve"> , при этом:</w:t>
      </w:r>
      <w:r/>
    </w:p>
    <w:p>
      <w:pPr>
        <w:pStyle w:val="1410"/>
        <w:numPr>
          <w:ilvl w:val="2"/>
          <w:numId w:val="45"/>
        </w:numPr>
        <w:contextualSpacing w:val="0"/>
        <w:tabs>
          <w:tab w:val="left" w:pos="1134" w:leader="none"/>
        </w:tabs>
      </w:pPr>
      <w:r>
        <w:t xml:space="preserve">В случае проведения закупки компонентов систем учета ЭЭ для определения НМЦ необходимо использовать минимум одно КП от производителя планируемого к закупке оборудования либо его официального представителя (торговый дом, дистрибьютор, дилер).</w:t>
      </w:r>
      <w:r/>
    </w:p>
    <w:p>
      <w:pPr>
        <w:pStyle w:val="1410"/>
        <w:numPr>
          <w:ilvl w:val="2"/>
          <w:numId w:val="45"/>
        </w:numPr>
        <w:contextualSpacing w:val="0"/>
        <w:tabs>
          <w:tab w:val="left" w:pos="1134" w:leader="none"/>
        </w:tabs>
      </w:pPr>
      <w:r>
        <w:t xml:space="preserve">Инициатор закупки вправе принять и использовать в расчете только одно коммерческое и/или альтернативное предложение с одного адреса электронной почты потенциального поставщика (подрядчика, исполнителя).</w:t>
      </w:r>
      <w:r/>
    </w:p>
    <w:p>
      <w:pPr>
        <w:pStyle w:val="1410"/>
        <w:numPr>
          <w:ilvl w:val="2"/>
          <w:numId w:val="45"/>
        </w:numPr>
        <w:contextualSpacing w:val="0"/>
        <w:tabs>
          <w:tab w:val="left" w:pos="1134" w:leader="none"/>
        </w:tabs>
      </w:pPr>
      <w:r>
        <w:t xml:space="preserve">При невозможности получения требуемого объема информации (получено менее </w:t>
      </w:r>
      <w:r>
        <w:t xml:space="preserve">3 (трех) цен) расчет НМЦ делается на основании имеющейся информации о ценах на продукцию, при этом в форме расчета НМЦ в разделе «особенности рынка» приводится перечень выполненных действий и обоснование невозможности получения новых источников информации.</w:t>
      </w:r>
      <w:r/>
    </w:p>
    <w:p>
      <w:pPr>
        <w:pStyle w:val="1410"/>
        <w:numPr>
          <w:ilvl w:val="2"/>
          <w:numId w:val="45"/>
        </w:numPr>
        <w:contextualSpacing w:val="0"/>
        <w:tabs>
          <w:tab w:val="left" w:pos="1134" w:leader="none"/>
        </w:tabs>
      </w:pPr>
      <w:r>
        <w:t xml:space="preserve">В случае невозможности рассмотрения других источников ценовой информации при заключении договора на право временного владения и пользования или временного пользования движимого и/или недвижимого имущества, в том числе: аренда земельных участков и зданий </w:t>
      </w:r>
      <w:r>
        <w:t xml:space="preserve">(помещений), иных объектов нед</w:t>
      </w:r>
      <w:r>
        <w:t xml:space="preserve">вижимости, необходимых для обеспечения основной производственной и хозяйственной деятельности – возможно определение НМЦ с использованием одного источника. Данные обстоятельства отражаются в виде пояснений в разделе «особенности рынка» в форме расчета НМЦ.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НМЦ определяется как минимальное значение итоговой цены по источнику ценовой информации. 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В случае если НМЦ определяется как максимальное значение цены договора и цена единицы товара, работы, услуги, то ценовой показатель единицы товара, работы, услуги </w:t>
      </w:r>
      <w:r>
        <w:t xml:space="preserve">по каждой позиции определяется как минимальная цена за такую единицу товара, работы, услуги из всех предложений о цене. При закупке двух и более позиций в соответствующей графе Обоснования НМЦ указывается сумма минимальных цен единиц товаров, работ, услуг.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При планировании закупок на будущий год ценовая информация, полученная по результатам анализа рынка, может быть приведена к ценам планируемого го</w:t>
      </w:r>
      <w:r>
        <w:t xml:space="preserve">да путем применения соответствующих для данной продукции планируемых индексов цен производителей (ИЦП) или индекс-дефляторов по видам экономической деятельности, которые публикует Министерство экономического развития Российской Федерации (официальный сайт </w:t>
      </w:r>
      <w:hyperlink r:id="rId29" w:tooltip="https://www.economy.gov.ru/" w:history="1">
        <w:r>
          <w:rPr>
            <w:color w:val="0000ff"/>
            <w:u w:val="single"/>
          </w:rPr>
          <w:t xml:space="preserve">https://www.economy.gov.ru/</w:t>
        </w:r>
      </w:hyperlink>
      <w:r>
        <w:t xml:space="preserve">). При значительных затруднениях в поиске ИЦП и индекс-дефляторов допускается применения индекса 1,04 на каждый год. 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С целью исключения случаев завышения или занижения НМЦ информация о ценах на продукцию каждого предложения о цене</w:t>
      </w:r>
      <w:r>
        <w:rPr>
          <w:vertAlign w:val="superscript"/>
        </w:rPr>
        <w:footnoteReference w:id="4"/>
      </w:r>
      <w:r>
        <w:t xml:space="preserve"> проверяется на отклонение от средней арифметической величины итоговых ценовых предложений, являющихся предметом закупки. Для каждого ценового предложения рассчитывается процент отклонения цены (</w:t>
      </w:r>
      <m:oMath>
        <m:sSub>
          <m:sSubPr>
            <m:ctrlPr>
              <w:rPr>
                <w:rFonts w:ascii="Cambria Math" w:hAnsi="Cambria Math" w:eastAsia="Cambria Math" w:cs="Cambria Math"/>
                <w:i/>
              </w:rPr>
            </m:ctrlPr>
          </m:sSubPr>
          <m:e>
            <m:r>
              <w:rPr>
                <w:rFonts w:ascii="Cambria Math" w:hAnsi="Cambria Math" w:eastAsia="Cambria Math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 w:eastAsia="Cambria Math"/>
              </w:rPr>
              <m:rPr/>
              <m:t>i</m:t>
            </m:r>
          </m:sub>
        </m:sSub>
        <m:r>
          <w:rPr>
            <w:rFonts w:ascii="Cambria Math" w:hAnsi="Cambria Math" w:eastAsia="Cambria Math"/>
          </w:rPr>
          <m:rPr/>
          <m:t>)</m:t>
        </m:r>
      </m:oMath>
      <w:r>
        <w:t xml:space="preserve"> по формуле:</w:t>
      </w:r>
      <w:r/>
    </w:p>
    <w:p>
      <w:pPr>
        <w:pStyle w:val="1410"/>
        <w:contextualSpacing w:val="0"/>
        <w:ind w:left="0" w:firstLine="0"/>
        <w:jc w:val="center"/>
        <w:widowControl w:val="off"/>
        <w:tabs>
          <w:tab w:val="left" w:pos="992" w:leader="none"/>
        </w:tabs>
      </w:pPr>
      <w:r/>
      <w:r/>
    </w:p>
    <w:p>
      <w:pPr>
        <w:pStyle w:val="1410"/>
        <w:contextualSpacing w:val="0"/>
        <w:ind w:left="0" w:firstLine="0"/>
        <w:jc w:val="center"/>
        <w:widowControl w:val="off"/>
      </w:pPr>
      <w:r/>
      <m:oMath>
        <m:sSub>
          <m:sSubPr>
            <m:ctrlPr>
              <w:rPr>
                <w:rFonts w:ascii="Cambria Math" w:hAnsi="Cambria Math" w:eastAsia="Cambria Math" w:cs="Cambria Math"/>
                <w:i/>
              </w:rPr>
            </m:ctrlPr>
          </m:sSubPr>
          <m:e>
            <m:r>
              <w:rPr>
                <w:rFonts w:ascii="Cambria Math" w:hAnsi="Cambria Math" w:eastAsia="Cambria Math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 w:eastAsia="Cambria Math"/>
              </w:rPr>
              <m:rPr/>
              <m:t>i</m:t>
            </m:r>
          </m:sub>
        </m:sSub>
        <m:r>
          <w:rPr>
            <w:rFonts w:ascii="Cambria Math" w:hAnsi="Cambria Math" w:eastAsia="Cambria Math"/>
          </w:rPr>
          <m:rPr/>
          <m:t>=100-</m:t>
        </m:r>
        <m:f>
          <m:fPr>
            <m:ctrlPr>
              <w:rPr>
                <w:rFonts w:ascii="Cambria Math" w:hAnsi="Cambria Math" w:eastAsia="Cambria Math" w:cs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Cambria Math" w:cs="Cambria Math"/>
                    <w:i/>
                  </w:rPr>
                </m:ctrlPr>
              </m:sSubPr>
              <m:e>
                <m:r>
                  <w:rPr>
                    <w:rFonts w:ascii="Cambria Math" w:hAnsi="Cambria Math" w:eastAsia="Cambria Math"/>
                  </w:rPr>
                  <m:rPr/>
                  <m:t>Ц</m:t>
                </m:r>
              </m:e>
              <m:sub>
                <m:r>
                  <w:rPr>
                    <w:rFonts w:ascii="Cambria Math" w:hAnsi="Cambria Math" w:eastAsia="Cambria Math"/>
                  </w:rPr>
                  <m:rPr/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eastAsia="Cambria Math" w:cs="Cambria Math"/>
                    <w:i/>
                  </w:rPr>
                </m:ctrlPr>
              </m:sSubPr>
              <m:e>
                <m:r>
                  <w:rPr>
                    <w:rFonts w:ascii="Cambria Math" w:hAnsi="Cambria Math" w:eastAsia="Cambria Math"/>
                  </w:rPr>
                  <m:rPr/>
                  <m:t>Ц</m:t>
                </m:r>
              </m:e>
              <m:sub>
                <m:r>
                  <w:rPr>
                    <w:rFonts w:ascii="Cambria Math" w:hAnsi="Cambria Math" w:eastAsia="Cambria Math"/>
                  </w:rPr>
                  <m:rPr/>
                  <m:t>ср</m:t>
                </m:r>
              </m:sub>
            </m:sSub>
          </m:den>
        </m:f>
        <m:r>
          <w:rPr>
            <w:rFonts w:ascii="Cambria Math" w:hAnsi="Cambria Math" w:eastAsia="Cambria Math"/>
          </w:rPr>
          <m:rPr/>
          <m:t>*100</m:t>
        </m:r>
      </m:oMath>
      <w:r>
        <w:t xml:space="preserve">, где:</w:t>
      </w:r>
      <w:r>
        <w:rPr>
          <w:vertAlign w:val="superscript"/>
        </w:rPr>
        <w:footnoteReference w:id="5"/>
      </w:r>
      <w:r/>
    </w:p>
    <w:p>
      <w:pPr>
        <w:pStyle w:val="1410"/>
        <w:contextualSpacing w:val="0"/>
        <w:ind w:left="0" w:firstLine="0"/>
        <w:jc w:val="center"/>
        <w:widowControl w:val="off"/>
      </w:pPr>
      <w:r/>
      <w:r/>
    </w:p>
    <w:p>
      <w:pPr>
        <w:pStyle w:val="1410"/>
        <w:contextualSpacing w:val="0"/>
        <w:ind w:left="0"/>
        <w:widowControl w:val="off"/>
      </w:pPr>
      <w:r>
        <w:t xml:space="preserve">Ц</w:t>
      </w:r>
      <w:r>
        <w:rPr>
          <w:vertAlign w:val="subscript"/>
          <w:lang w:val="en-US"/>
        </w:rPr>
        <w:t xml:space="preserve">i</w:t>
      </w:r>
      <w:r>
        <w:t xml:space="preserve"> – итоговая цена по </w:t>
      </w:r>
      <w:r>
        <w:rPr>
          <w:lang w:val="en-US"/>
        </w:rPr>
        <w:t xml:space="preserve">i</w:t>
      </w:r>
      <w:r>
        <w:t xml:space="preserve">-му источнику ценовой информации;</w:t>
      </w:r>
      <w:r/>
    </w:p>
    <w:p>
      <w:pPr>
        <w:pStyle w:val="1410"/>
        <w:contextualSpacing w:val="0"/>
        <w:ind w:left="0"/>
        <w:widowControl w:val="off"/>
      </w:pPr>
      <w:r>
        <w:t xml:space="preserve">Ц</w:t>
      </w:r>
      <w:r>
        <w:rPr>
          <w:vertAlign w:val="subscript"/>
        </w:rPr>
        <w:t xml:space="preserve">ср</w:t>
      </w:r>
      <w:r>
        <w:t xml:space="preserve"> – среднее арифметическое величины полученных итоговых цен предложений (далее – средняя цена).</w:t>
      </w:r>
      <w:r/>
    </w:p>
    <w:p>
      <w:pPr>
        <w:pStyle w:val="1410"/>
        <w:contextualSpacing w:val="0"/>
        <w:ind w:left="0"/>
        <w:widowControl w:val="off"/>
      </w:pPr>
      <w:r>
        <w:t xml:space="preserve">Для оценки процента отклонения </w:t>
      </w:r>
      <m:oMath>
        <m:sSub>
          <m:sSubPr>
            <m:ctrlPr>
              <w:rPr>
                <w:rFonts w:ascii="Cambria Math" w:hAnsi="Cambria Math" w:eastAsia="Cambria Math" w:cs="Cambria Math"/>
                <w:i/>
              </w:rPr>
            </m:ctrlPr>
          </m:sSubPr>
          <m:e>
            <m:r>
              <w:rPr>
                <w:rFonts w:ascii="Cambria Math" w:hAnsi="Cambria Math" w:eastAsia="Cambria Math"/>
                <w:lang w:val="en-US"/>
              </w:rPr>
              <m:rPr>
                <m:sty m:val="bi"/>
              </m:rPr>
              <m:t>k</m:t>
            </m:r>
          </m:e>
          <m:sub>
            <m:r>
              <w:rPr>
                <w:rFonts w:ascii="Cambria Math" w:hAnsi="Cambria Math" w:eastAsia="Cambria Math"/>
              </w:rPr>
              <m:rPr>
                <m:sty m:val="bi"/>
              </m:rPr>
              <m:t>i</m:t>
            </m:r>
          </m:sub>
        </m:sSub>
      </m:oMath>
      <w:r>
        <w:t xml:space="preserve"> рассматривается в абсолютном значении, то есть если получается отрицательное число, то берется число без учета знака. </w:t>
      </w:r>
      <w:r/>
    </w:p>
    <w:p>
      <w:pPr>
        <w:pStyle w:val="1410"/>
        <w:contextualSpacing w:val="0"/>
        <w:ind w:left="0"/>
        <w:widowControl w:val="off"/>
      </w:pPr>
      <w:r>
        <w:t xml:space="preserve">Например, получено </w:t>
      </w:r>
      <m:oMath>
        <m:sSub>
          <m:sSubPr>
            <m:ctrlPr>
              <w:rPr>
                <w:rFonts w:ascii="Cambria Math" w:hAnsi="Cambria Math" w:eastAsia="Cambria Math" w:cs="Cambria Math"/>
                <w:i/>
              </w:rPr>
            </m:ctrlPr>
          </m:sSubPr>
          <m:e>
            <m:r>
              <w:rPr>
                <w:rFonts w:ascii="Cambria Math" w:hAnsi="Cambria Math" w:eastAsia="Cambria Math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 w:eastAsia="Cambria Math"/>
              </w:rPr>
              <m:rPr/>
              <m:t>i</m:t>
            </m:r>
          </m:sub>
        </m:sSub>
        <m:r>
          <w:rPr>
            <w:rFonts w:ascii="Cambria Math" w:hAnsi="Cambria Math" w:eastAsia="Cambria Math"/>
          </w:rPr>
          <m:rPr>
            <m:sty m:val="bi"/>
          </m:rPr>
          <m:t>= </m:t>
        </m:r>
      </m:oMath>
      <w:r>
        <w:t xml:space="preserve">– 72,27 % – для целей оценки отклонения цены считается</w:t>
      </w:r>
      <w:r>
        <w:br/>
      </w:r>
      <m:oMath>
        <m:sSub>
          <m:sSubPr>
            <m:ctrlPr>
              <w:rPr>
                <w:rFonts w:ascii="Cambria Math" w:hAnsi="Cambria Math" w:eastAsia="Cambria Math" w:cs="Cambria Math"/>
                <w:i/>
              </w:rPr>
            </m:ctrlPr>
          </m:sSubPr>
          <m:e>
            <m:r>
              <w:rPr>
                <w:rFonts w:ascii="Cambria Math" w:hAnsi="Cambria Math" w:eastAsia="Cambria Math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 w:eastAsia="Cambria Math"/>
              </w:rPr>
              <m:rPr/>
              <m:t>i</m:t>
            </m:r>
          </m:sub>
        </m:sSub>
        <m:r>
          <w:rPr>
            <w:rFonts w:ascii="Cambria Math" w:hAnsi="Cambria Math" w:eastAsia="Cambria Math"/>
          </w:rPr>
          <m:rPr>
            <m:sty m:val="bi"/>
          </m:rPr>
          <m:t>=</m:t>
        </m:r>
      </m:oMath>
      <w:r>
        <w:t xml:space="preserve"> 72,27 %.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Если </w:t>
      </w:r>
      <m:oMath>
        <m:sSub>
          <m:sSubPr>
            <m:ctrlPr>
              <w:rPr>
                <w:rFonts w:ascii="Cambria Math" w:hAnsi="Cambria Math" w:eastAsia="Cambria Math" w:cs="Cambria Math"/>
                <w:i/>
              </w:rPr>
            </m:ctrlPr>
          </m:sSubPr>
          <m:e>
            <m:r>
              <w:rPr>
                <w:rFonts w:ascii="Cambria Math" w:hAnsi="Cambria Math" w:eastAsia="Cambria Math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 w:eastAsia="Cambria Math"/>
              </w:rPr>
              <m:rPr/>
              <m:t>i</m:t>
            </m:r>
          </m:sub>
        </m:sSub>
      </m:oMath>
      <w:r>
        <w:t xml:space="preserve"> больше 33 %, тогда Инициатор закупки исключает из расчета ценовое предложение, имеющее наибольшее отклонение от средней цены, проводит дополнительный поиск цен (</w:t>
      </w:r>
      <w:hyperlink w:tooltip="#П8_3_1" w:anchor="П8_3_1" w:history="1">
        <w:r>
          <w:rPr>
            <w:color w:val="0000ff"/>
            <w:u w:val="single"/>
          </w:rPr>
          <w:t xml:space="preserve">пункт 8.2.1</w:t>
        </w:r>
      </w:hyperlink>
      <w:r>
        <w:t xml:space="preserve"> и/или </w:t>
      </w:r>
      <w:hyperlink w:tooltip="#П8_3_2" w:anchor="П8_3_2" w:history="1">
        <w:r>
          <w:rPr>
            <w:color w:val="0000ff"/>
            <w:u w:val="single"/>
          </w:rPr>
          <w:t xml:space="preserve">пункт 8.2.2</w:t>
        </w:r>
      </w:hyperlink>
      <w:r>
        <w:t xml:space="preserve">) в целях увеличения количества ценовой информации и осуществляет повторный расчет НМЦ, при этом:</w:t>
      </w:r>
      <w:r/>
    </w:p>
    <w:p>
      <w:pPr>
        <w:pStyle w:val="1410"/>
        <w:numPr>
          <w:ilvl w:val="2"/>
          <w:numId w:val="45"/>
        </w:numPr>
        <w:contextualSpacing w:val="0"/>
        <w:tabs>
          <w:tab w:val="left" w:pos="1134" w:leader="none"/>
        </w:tabs>
      </w:pPr>
      <w:r>
        <w:t xml:space="preserve">Если исключению подлежит наименьшее ценовое предложение, а Инициатор закупки может обосновать, что данное предложение не является аномальн</w:t>
      </w:r>
      <w:r>
        <w:t xml:space="preserve">о низким и участник способен осуществить поставку / выполнить работы / оказать услуги по предложенной цене, то такое предложение из расчета не исключается. Данные обстоятельства отражаются в виде пояснений в разделе «особенности рынка» в форме расчета НМЦ.</w:t>
      </w:r>
      <w:r>
        <w:rPr>
          <w:highlight w:val="red"/>
        </w:rPr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Если рассчитанная НМЦ превышает размер лимита финансирования, предусмотренного в утвержденном Бизнес-плане Общества, а Инициатор закупки может об</w:t>
      </w:r>
      <w:r>
        <w:t xml:space="preserve">основать, что закупку можно провести по более низкой цене в пределах лимита, то допускается установление НМЦ в размере, указанном в Бизнес-плане Общества. Данные обстоятельства указываются в виде пояснений в разделе «особенности рынка» в форме расчета НМЦ.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К Обоснованию НМЦ прикладываются:</w:t>
      </w:r>
      <w:r/>
    </w:p>
    <w:p>
      <w:pPr>
        <w:pStyle w:val="1410"/>
        <w:numPr>
          <w:ilvl w:val="1"/>
          <w:numId w:val="6"/>
        </w:numPr>
        <w:contextualSpacing w:val="0"/>
        <w:widowControl w:val="off"/>
        <w:tabs>
          <w:tab w:val="left" w:pos="850" w:leader="none"/>
          <w:tab w:val="left" w:pos="992" w:leader="none"/>
        </w:tabs>
        <w:rPr>
          <w:color w:val="0000ff"/>
          <w:highlight w:val="none"/>
          <w:u w:val="single"/>
        </w:rPr>
      </w:pPr>
      <w:r>
        <w:t xml:space="preserve">расчет НМЦ в формате текстового документа, электронной таблицы по форме, </w:t>
      </w:r>
      <w:r>
        <w:rPr>
          <w:highlight w:val="none"/>
        </w:rPr>
        <w:t xml:space="preserve">установленной </w:t>
      </w:r>
      <w:r>
        <w:rPr>
          <w:color w:val="0000ff"/>
          <w:highlight w:val="none"/>
          <w:u w:val="single"/>
        </w:rPr>
        <w:t xml:space="preserve">приложениями 1.1–</w:t>
      </w:r>
      <w:hyperlink w:tooltip="#Приложение1_5" w:anchor="Приложение1_5" w:history="1">
        <w:r>
          <w:rPr>
            <w:color w:val="0000ff"/>
            <w:highlight w:val="none"/>
            <w:u w:val="single"/>
          </w:rPr>
          <w:t xml:space="preserve">1.5</w:t>
        </w:r>
      </w:hyperlink>
      <w:r>
        <w:rPr>
          <w:color w:val="0000ff"/>
          <w:highlight w:val="none"/>
          <w:u w:val="single"/>
        </w:rPr>
        <w:t xml:space="preserve"> к Обоснованию НМЦ;</w:t>
      </w:r>
      <w:r>
        <w:rPr>
          <w:color w:val="0000ff"/>
          <w:highlight w:val="none"/>
          <w:u w:val="single"/>
        </w:rPr>
      </w:r>
      <w:r>
        <w:rPr>
          <w:color w:val="0000ff"/>
          <w:highlight w:val="none"/>
          <w:u w:val="single"/>
        </w:rPr>
      </w:r>
    </w:p>
    <w:p>
      <w:pPr>
        <w:pStyle w:val="1410"/>
        <w:numPr>
          <w:ilvl w:val="1"/>
          <w:numId w:val="6"/>
        </w:numPr>
        <w:contextualSpacing w:val="0"/>
        <w:widowControl w:val="off"/>
        <w:tabs>
          <w:tab w:val="left" w:pos="850" w:leader="none"/>
          <w:tab w:val="left" w:pos="992" w:leader="none"/>
        </w:tabs>
        <w:rPr>
          <w:highlight w:val="none"/>
        </w:rPr>
      </w:pPr>
      <w:r>
        <w:rPr>
          <w:highlight w:val="none"/>
        </w:rPr>
        <w:t xml:space="preserve">КП, содержащие исходящий номер и дату, ИНН, номер телефона и адрес электронной почты</w:t>
      </w:r>
      <w:r>
        <w:rPr>
          <w:rStyle w:val="1401"/>
          <w:highlight w:val="none"/>
        </w:rPr>
        <w:footnoteReference w:id="6"/>
      </w:r>
      <w:r>
        <w:rPr>
          <w:highlight w:val="none"/>
        </w:rPr>
        <w:t xml:space="preserve"> участника рынка, заверенные подписью ответственного лица. </w:t>
      </w:r>
      <w:r>
        <w:rPr>
          <w:highlight w:val="none"/>
        </w:rPr>
        <w:t xml:space="preserve">В случае получения коммерческого предложения на адрес электронной почты необходимо дополнительно прикладывать элемент почтового клиента (</w:t>
      </w:r>
      <w:r>
        <w:rPr>
          <w:highlight w:val="none"/>
          <w:lang w:val="en-US"/>
        </w:rPr>
        <w:t xml:space="preserve">Outlook</w:t>
      </w:r>
      <w:r>
        <w:rPr>
          <w:highlight w:val="none"/>
        </w:rPr>
        <w:t xml:space="preserve"> или Evolution) расширения </w:t>
      </w:r>
      <w:r>
        <w:rPr>
          <w:highlight w:val="none"/>
          <w:lang w:val="en-US"/>
        </w:rPr>
        <w:t xml:space="preserve">msg</w:t>
      </w:r>
      <w:r>
        <w:rPr>
          <w:highlight w:val="none"/>
        </w:rPr>
        <w:t xml:space="preserve"> или </w:t>
      </w:r>
      <w:r>
        <w:rPr>
          <w:highlight w:val="none"/>
          <w:lang w:val="en-US"/>
        </w:rPr>
        <w:t xml:space="preserve">mbox</w:t>
      </w:r>
      <w:r>
        <w:rPr>
          <w:highlight w:val="none"/>
        </w:rPr>
        <w:t xml:space="preserve"> (копия письма)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6"/>
        </w:numPr>
        <w:contextualSpacing w:val="0"/>
        <w:widowControl w:val="off"/>
        <w:tabs>
          <w:tab w:val="left" w:pos="850" w:leader="none"/>
          <w:tab w:val="left" w:pos="992" w:leader="none"/>
        </w:tabs>
      </w:pPr>
      <w:r>
        <w:rPr>
          <w:highlight w:val="none"/>
        </w:rPr>
        <w:t xml:space="preserve">запросы коммерческих предложений, </w:t>
      </w:r>
      <w:r>
        <w:rPr>
          <w:highlight w:val="none"/>
        </w:rPr>
        <w:t xml:space="preserve">включающие исходящий номер и дату направления запроса; </w:t>
      </w:r>
      <w:r>
        <w:rPr>
          <w:highlight w:val="none"/>
        </w:rPr>
        <w:t xml:space="preserve">в случае направления запроса коммерческих предложений на адрес электронной почты необходимо прикладывать элемент почтового клиента (Outlook или Evolution) расширения msg или mbox (копия письма рассылки</w:t>
      </w:r>
      <w:r>
        <w:rPr>
          <w:highlight w:val="none"/>
          <w:vertAlign w:val="superscript"/>
        </w:rPr>
        <w:footnoteReference w:id="7"/>
      </w:r>
      <w:r>
        <w:rPr>
          <w:highlight w:val="none"/>
        </w:rPr>
        <w:t xml:space="preserve">) или снимок экрана («скриншот»), если запрос направлялся нескольким участникам рынка одновременно с перечислением адресатов в поле СК («скрытая копия»)</w:t>
      </w:r>
      <w:r>
        <w:rPr>
          <w:highlight w:val="none"/>
        </w:rPr>
        <w:t xml:space="preserve">;</w:t>
      </w:r>
      <w:r>
        <w:t xml:space="preserve"> </w:t>
      </w:r>
      <w:r/>
    </w:p>
    <w:p>
      <w:pPr>
        <w:pStyle w:val="1410"/>
        <w:numPr>
          <w:ilvl w:val="1"/>
          <w:numId w:val="6"/>
        </w:numPr>
        <w:contextualSpacing w:val="0"/>
        <w:widowControl w:val="off"/>
        <w:tabs>
          <w:tab w:val="left" w:pos="850" w:leader="none"/>
          <w:tab w:val="left" w:pos="992" w:leader="none"/>
        </w:tabs>
      </w:pPr>
      <w:r/>
      <w:bookmarkStart w:id="36" w:name="П8_10гз"/>
      <w:r>
        <w:t xml:space="preserve">не использованные в расчете коммерческие предложения с предоставлением в соответствии с настоящим разделом причин их отклонения (обоснование направляется по форме, установленной </w:t>
      </w:r>
      <w:hyperlink w:tooltip="#Приложение1_1" w:anchor="Приложение1_1" w:history="1">
        <w:r>
          <w:rPr>
            <w:color w:val="0000ff"/>
            <w:u w:val="single"/>
          </w:rPr>
          <w:t xml:space="preserve">приложениями 1.1</w:t>
        </w:r>
      </w:hyperlink>
      <w:r>
        <w:t xml:space="preserve">–</w:t>
      </w:r>
      <w:hyperlink w:tooltip="#Приложение1_5" w:anchor="Приложение1_5" w:history="1">
        <w:r>
          <w:rPr>
            <w:color w:val="0000ff"/>
            <w:u w:val="single"/>
          </w:rPr>
          <w:t xml:space="preserve">1.5</w:t>
        </w:r>
      </w:hyperlink>
      <w:r>
        <w:t xml:space="preserve"> к Обоснованию НМЦ в строке «особенности рынка»);</w:t>
      </w:r>
      <w:r/>
    </w:p>
    <w:p>
      <w:pPr>
        <w:pStyle w:val="1410"/>
        <w:numPr>
          <w:ilvl w:val="1"/>
          <w:numId w:val="6"/>
        </w:numPr>
        <w:contextualSpacing w:val="0"/>
        <w:widowControl w:val="off"/>
        <w:tabs>
          <w:tab w:val="left" w:pos="850" w:leader="none"/>
          <w:tab w:val="left" w:pos="992" w:leader="none"/>
        </w:tabs>
      </w:pPr>
      <w:r>
        <w:t xml:space="preserve">оригиналы или заверенные исполнителем расчета копии использованных при определении НМЦ документов с указанием даты получения информации;</w:t>
      </w:r>
      <w:r/>
    </w:p>
    <w:p>
      <w:pPr>
        <w:pStyle w:val="1410"/>
        <w:numPr>
          <w:ilvl w:val="1"/>
          <w:numId w:val="6"/>
        </w:numPr>
        <w:contextualSpacing w:val="0"/>
        <w:widowControl w:val="off"/>
        <w:tabs>
          <w:tab w:val="left" w:pos="850" w:leader="none"/>
          <w:tab w:val="left" w:pos="992" w:leader="none"/>
        </w:tabs>
      </w:pPr>
      <w:r>
        <w:t xml:space="preserve">снимки экрана («скриншот»), содержащие изображения соответствующих страниц сайтов </w:t>
      </w:r>
      <w:r>
        <w:br/>
        <w:t xml:space="preserve">в информационно-телекоммуникационной сети «Интернет» с указанием ссылки на источник, даты и время их формирования;</w:t>
      </w:r>
      <w:r/>
    </w:p>
    <w:p>
      <w:pPr>
        <w:pStyle w:val="1410"/>
        <w:numPr>
          <w:ilvl w:val="1"/>
          <w:numId w:val="6"/>
        </w:numPr>
        <w:contextualSpacing w:val="0"/>
        <w:widowControl w:val="off"/>
        <w:tabs>
          <w:tab w:val="left" w:pos="850" w:leader="none"/>
          <w:tab w:val="left" w:pos="992" w:leader="none"/>
        </w:tabs>
      </w:pPr>
      <w:r>
        <w:t xml:space="preserve">реестровые номера договоров/контрактов при использовании информации из реестра договоров, которые ведутся в соответствии с требованиями законодательства;</w:t>
      </w:r>
      <w:r/>
    </w:p>
    <w:p>
      <w:pPr>
        <w:pStyle w:val="1410"/>
        <w:numPr>
          <w:ilvl w:val="1"/>
          <w:numId w:val="6"/>
        </w:numPr>
        <w:contextualSpacing w:val="0"/>
        <w:widowControl w:val="off"/>
        <w:tabs>
          <w:tab w:val="left" w:pos="850" w:leader="none"/>
          <w:tab w:val="left" w:pos="992" w:leader="none"/>
        </w:tabs>
      </w:pPr>
      <w:r>
        <w:t xml:space="preserve">протоколы телефонных переговоров по форме </w:t>
      </w:r>
      <w:hyperlink w:tooltip="#_Приложение_3" w:anchor="_Приложение_3" w:history="1">
        <w:r>
          <w:rPr>
            <w:color w:val="0000ff"/>
            <w:u w:val="single"/>
          </w:rPr>
          <w:t xml:space="preserve">приложения </w:t>
        </w:r>
      </w:hyperlink>
      <w:r>
        <w:rPr>
          <w:color w:val="0000ff"/>
          <w:u w:val="single"/>
        </w:rPr>
        <w:t xml:space="preserve">4</w:t>
      </w:r>
      <w:r>
        <w:t xml:space="preserve"> к Положению</w:t>
      </w:r>
      <w:bookmarkEnd w:id="36"/>
      <w:r>
        <w:t xml:space="preserve">;</w:t>
      </w:r>
      <w:r/>
    </w:p>
    <w:p>
      <w:pPr>
        <w:pStyle w:val="1410"/>
        <w:numPr>
          <w:ilvl w:val="1"/>
          <w:numId w:val="6"/>
        </w:numPr>
        <w:contextualSpacing w:val="0"/>
        <w:widowControl w:val="off"/>
        <w:tabs>
          <w:tab w:val="left" w:pos="850" w:leader="none"/>
          <w:tab w:val="left" w:pos="992" w:leader="none"/>
        </w:tabs>
      </w:pPr>
      <w:r>
        <w:t xml:space="preserve">иные сведения и документы, которые использовались при расчете НМЦ.</w:t>
      </w:r>
      <w:r/>
    </w:p>
    <w:p>
      <w:pPr>
        <w:pStyle w:val="1410"/>
        <w:contextualSpacing w:val="0"/>
        <w:ind w:left="0"/>
        <w:widowControl w:val="off"/>
      </w:pPr>
      <w:r>
        <w:t xml:space="preserve">Документы, указанные в </w:t>
      </w:r>
      <w:hyperlink w:tooltip="#П8_10гз" w:anchor="П8_10гз" w:history="1">
        <w:r>
          <w:rPr>
            <w:color w:val="0000ff"/>
            <w:u w:val="single"/>
          </w:rPr>
          <w:t xml:space="preserve">подпунктах «г)»–«и)</w:t>
        </w:r>
      </w:hyperlink>
      <w:r>
        <w:t xml:space="preserve">», прикладываются к Обоснованию НМЦ при их наличии.</w:t>
      </w:r>
      <w:r/>
    </w:p>
    <w:p>
      <w:pPr>
        <w:pStyle w:val="1410"/>
        <w:contextualSpacing w:val="0"/>
        <w:ind w:left="0"/>
        <w:widowControl w:val="off"/>
      </w:pPr>
      <w:r>
        <w:t xml:space="preserve">При использовании метода сопоставимых рыночных цен для определения НМЦ на выполнение работ по текущему ремонту объекта к расчету дополнител</w:t>
      </w:r>
      <w:r>
        <w:t xml:space="preserve">ьно предоставляются локальные сметные расчеты (локальные сметы), составленные по ведомости объемов работ (дефектной ведомости), либо иные документы, определяющие объем работ, подлежащий выполнению при производстве текущего ремонта соответствующего объекта.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При закупке услуг на модернизацию систем учета электроэнергии с использованием нетариф</w:t>
      </w:r>
      <w:r>
        <w:t xml:space="preserve">ных источников финансирования, за исключением договоров, финансируемых за счет средств финансовой поддержки (далее – услуги на модернизацию систем учета ЭЭ), расчет НМЦ методом сопоставимых рыночных цен (анализа рынка) осуществляется с учетом особенностей </w:t>
      </w:r>
      <w:bookmarkStart w:id="37" w:name="Р18"/>
      <w:r>
        <w:fldChar w:fldCharType="begin"/>
      </w:r>
      <w:r>
        <w:instrText xml:space="preserve"> HYPERLINK \l "_Типовые_требования_к" </w:instrText>
      </w:r>
      <w:r>
        <w:fldChar w:fldCharType="separate"/>
      </w:r>
      <w:r>
        <w:rPr>
          <w:color w:val="0000ff"/>
          <w:u w:val="single"/>
        </w:rPr>
        <w:t xml:space="preserve">раздела 18</w:t>
      </w:r>
      <w:bookmarkEnd w:id="37"/>
      <w:r>
        <w:rPr>
          <w:color w:val="0000ff"/>
          <w:u w:val="single"/>
        </w:rPr>
        <w:fldChar w:fldCharType="end"/>
      </w:r>
      <w:r>
        <w:t xml:space="preserve"> Положения.</w:t>
      </w:r>
      <w:r/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  <w:rPr>
          <w:bCs/>
          <w:color w:val="000000" w:themeColor="text1"/>
        </w:rPr>
      </w:pPr>
      <w:r/>
      <w:bookmarkStart w:id="38" w:name="Р9"/>
      <w:r/>
      <w:bookmarkStart w:id="39" w:name="_Toc9"/>
      <w:r/>
      <w:bookmarkEnd w:id="38"/>
      <w:r>
        <w:t xml:space="preserve">Нормативный метод</w:t>
      </w:r>
      <w:bookmarkEnd w:id="39"/>
      <w:r>
        <w:rPr>
          <w:bCs/>
          <w:color w:val="000000" w:themeColor="text1"/>
        </w:rPr>
      </w:r>
      <w:r>
        <w:rPr>
          <w:bCs/>
          <w:color w:val="000000" w:themeColor="text1"/>
        </w:rPr>
      </w:r>
    </w:p>
    <w:p>
      <w:pPr>
        <w:ind w:firstLine="567"/>
        <w:jc w:val="both"/>
        <w:widowControl/>
        <w:tabs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Нормативный </w:t>
      </w:r>
      <w:hyperlink r:id="rId30" w:tooltip="consultantplus://offline/ref=2A6B5D54FC91A5D34616D251060795D5DB40A5085437F901D72A15F589283805FF15EA5CCC0611D9784322A72B9C9EE33B151D447D33A042nCk1N" w:history="1">
        <w:r>
          <w:t xml:space="preserve">метод</w:t>
        </w:r>
      </w:hyperlink>
      <w:r>
        <w:t xml:space="preserve"> заключается в расчете НМЦ на основе требований к закупаемой продукции, установленных законодательством Российской Федерации, з</w:t>
      </w:r>
      <w:r>
        <w:t xml:space="preserve">аконодательством субъектов Российской Федерации, муниципальными нормативными правовыми актами, а также организационно-распорядительными документами Общества, в случае, если такие требования предусматривают установление предельных цен товаров, работ, услуг.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К Обоснованию НМЦ прикладывается расчет НМЦ по форме, установленной </w:t>
      </w:r>
      <w:hyperlink w:tooltip="#Приложение1_2" w:anchor="Приложение1_2" w:history="1">
        <w:r>
          <w:rPr>
            <w:color w:val="0000ff"/>
            <w:u w:val="single"/>
          </w:rPr>
          <w:t xml:space="preserve">приложением 1.2</w:t>
        </w:r>
      </w:hyperlink>
      <w:r>
        <w:t xml:space="preserve">, и обосновывающие материалы.</w:t>
      </w:r>
      <w:r/>
    </w:p>
    <w:p>
      <w:pPr>
        <w:ind w:firstLine="567"/>
        <w:jc w:val="both"/>
        <w:keepLines/>
        <w:keepNext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</w:pPr>
      <w:r/>
      <w:bookmarkStart w:id="40" w:name="Р10"/>
      <w:r/>
      <w:bookmarkStart w:id="41" w:name="_Toc10"/>
      <w:r/>
      <w:bookmarkEnd w:id="40"/>
      <w:r>
        <w:t xml:space="preserve">Тарифный метод</w:t>
      </w:r>
      <w:bookmarkEnd w:id="41"/>
      <w:r/>
      <w:r/>
    </w:p>
    <w:p>
      <w:pPr>
        <w:ind w:firstLine="567"/>
        <w:jc w:val="both"/>
        <w:keepLines/>
        <w:keepNext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Тарифный метод подлежит применению в случае определения НМЦ для товаров, работ, услуг, попадающих под одно из нижеследующих условий:</w:t>
      </w:r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 подлежат государственному регулированию в соответствии с Постановлением Правительства РФ от 07.03.1995 № 239;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входят в сферу применения указания Банка России от 09.10.2025 N 7204-У;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 тариф установлен на продукцию (услуги) предприятий, учреждений и организаций, находящихся в муниципальной собственности, на основании пункта 4 части 1 статьи 17 Закона № 131-ФЗ.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К Обоснованию НМЦ прикладывается расчет НМЦ по форме, установленной </w:t>
      </w:r>
      <w:hyperlink w:tooltip="#Приложение1_3" w:anchor="Приложение1_3" w:history="1">
        <w:r>
          <w:rPr>
            <w:color w:val="0000ff"/>
            <w:u w:val="single"/>
          </w:rPr>
          <w:t xml:space="preserve">приложением 1.3</w:t>
        </w:r>
      </w:hyperlink>
      <w:r>
        <w:t xml:space="preserve">, и обосновывающие материалы.</w:t>
      </w:r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  <w:rPr>
          <w:highlight w:val="none"/>
        </w:rPr>
      </w:pPr>
      <w:r>
        <w:rPr>
          <w:highlight w:val="none"/>
        </w:rPr>
      </w:r>
      <w:bookmarkStart w:id="42" w:name="Р11"/>
      <w:r>
        <w:rPr>
          <w:highlight w:val="none"/>
        </w:rPr>
      </w:r>
      <w:bookmarkStart w:id="43" w:name="_Toc11"/>
      <w:r>
        <w:rPr>
          <w:highlight w:val="none"/>
        </w:rPr>
      </w:r>
      <w:bookmarkEnd w:id="42"/>
      <w:r>
        <w:rPr>
          <w:highlight w:val="none"/>
        </w:rPr>
        <w:t xml:space="preserve">Проектно-сметный метод</w:t>
      </w:r>
      <w:bookmarkEnd w:id="43"/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44" w:name="п11_1"/>
      <w:r>
        <w:rPr>
          <w:highlight w:val="none"/>
        </w:rPr>
      </w:r>
      <w:bookmarkEnd w:id="44"/>
      <w:r>
        <w:rPr>
          <w:highlight w:val="none"/>
        </w:rPr>
        <w:t xml:space="preserve">НМЦ проектно-сметным методом определяется в случае заключения следующих видов договоров: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7"/>
        </w:numPr>
        <w:contextualSpacing w:val="0"/>
        <w:widowControl w:val="off"/>
        <w:tabs>
          <w:tab w:val="left" w:pos="850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 строительство, реконструкцию, капитальный ремонт, снос объекта капитального строительства, проведение работ по сохранению объектов культурного наследия (памятников истории и культуры) народов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7"/>
        </w:numPr>
        <w:contextualSpacing w:val="0"/>
        <w:widowControl w:val="off"/>
        <w:tabs>
          <w:tab w:val="left" w:pos="850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 проведение пусконаладочных работ;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7"/>
        </w:numPr>
        <w:contextualSpacing w:val="0"/>
        <w:widowControl w:val="off"/>
        <w:tabs>
          <w:tab w:val="left" w:pos="850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 выполнение работ по техническому перевооружению (если такое перевооружение связано со строительством или реконструкцией объекта капитального строительства) объекта капитального строительства;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7"/>
        </w:numPr>
        <w:contextualSpacing w:val="0"/>
        <w:widowControl w:val="off"/>
        <w:tabs>
          <w:tab w:val="left" w:pos="850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 оказание услуг по модернизации систем учета ЭЭ с использованием нетарифных источников финансирования, за исключением договоров, финансируемых за счет средств финансовой поддержки.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Основанием для определения НМЦ является проектная документация (включающая сметную стоимость работ), разработанная и утвержденная в соответствии с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45" w:name="п11_3"/>
      <w:r>
        <w:rPr>
          <w:highlight w:val="none"/>
        </w:rPr>
      </w:r>
      <w:bookmarkEnd w:id="45"/>
      <w:r>
        <w:rPr>
          <w:highlight w:val="none"/>
        </w:rPr>
        <w:t xml:space="preserve">Расчет НМЦ по договорам, исполнение которых завершается в текущем году, осуществляется в текущем уро</w:t>
      </w:r>
      <w:r>
        <w:rPr>
          <w:highlight w:val="none"/>
        </w:rPr>
        <w:t xml:space="preserve">вне цен путем применения к стоимости работ в базисном уровне цен, определенных сметной документацией, соответствующих индексов изменения сметной стоимости работ, сообщаемых Министерством строительства и жилищно-коммунального хозяйства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Расчет НМЦ для долгосрочных договоров, исполнение которых выходит за рамки текущего года, осуществляется в прогнозном уровне цен. При этом стоимость работ в текущем году рассчитывается в соответствии с</w:t>
      </w:r>
      <w:r>
        <w:rPr>
          <w:color w:val="0000ff"/>
          <w:highlight w:val="none"/>
          <w:u w:val="single"/>
        </w:rPr>
        <w:t xml:space="preserve"> </w:t>
      </w:r>
      <w:hyperlink w:tooltip="#п11_3" w:anchor="п11_3" w:history="1">
        <w:r>
          <w:rPr>
            <w:color w:val="0000ff"/>
            <w:highlight w:val="none"/>
            <w:u w:val="single"/>
          </w:rPr>
          <w:t xml:space="preserve">пунктом 11.3</w:t>
        </w:r>
      </w:hyperlink>
      <w:r>
        <w:rPr>
          <w:highlight w:val="none"/>
        </w:rPr>
        <w:t xml:space="preserve">, а стоимость работ в последующие год</w:t>
      </w:r>
      <w:r>
        <w:rPr>
          <w:highlight w:val="none"/>
        </w:rPr>
        <w:t xml:space="preserve">ы определяется путем применения к стоимости работ, определенной в текущем уровне цен, соответствующих прогнозных индексов-дефляторов по видам экономической деятельности на каждый год, определяемых Министерством экономического развития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К Обоснованию НМЦ прикладываются: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0"/>
          <w:numId w:val="27"/>
        </w:numPr>
        <w:contextualSpacing w:val="0"/>
        <w:widowControl w:val="off"/>
        <w:tabs>
          <w:tab w:val="left" w:pos="850" w:leader="none"/>
        </w:tabs>
        <w:rPr>
          <w:highlight w:val="none"/>
        </w:rPr>
      </w:pPr>
      <w:r>
        <w:rPr>
          <w:highlight w:val="none"/>
        </w:rPr>
        <w:t xml:space="preserve">копия титульного листа утвержденной проектной документации;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0"/>
          <w:numId w:val="27"/>
        </w:numPr>
        <w:contextualSpacing w:val="0"/>
        <w:widowControl w:val="off"/>
        <w:tabs>
          <w:tab w:val="left" w:pos="850" w:leader="none"/>
        </w:tabs>
        <w:rPr>
          <w:highlight w:val="none"/>
        </w:rPr>
      </w:pPr>
      <w:r>
        <w:rPr>
          <w:highlight w:val="none"/>
        </w:rPr>
        <w:t xml:space="preserve">локальные сметы (в редактируемом формате);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0"/>
          <w:numId w:val="27"/>
        </w:numPr>
        <w:contextualSpacing w:val="0"/>
        <w:widowControl w:val="off"/>
        <w:tabs>
          <w:tab w:val="left" w:pos="850" w:leader="none"/>
        </w:tabs>
        <w:rPr>
          <w:highlight w:val="none"/>
        </w:rPr>
      </w:pPr>
      <w:r>
        <w:rPr>
          <w:highlight w:val="none"/>
        </w:rPr>
        <w:t xml:space="preserve">копии положительного заключения экспертизы проектной документации и результатов инженерных изысканий (если осуществлялась) и/или копия положительного заключения о проверке достоверности определения сметной стоимости (если осуществлялась).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Если ОРД ПАО «Россети» установлено прохождение экс</w:t>
      </w:r>
      <w:r>
        <w:rPr>
          <w:highlight w:val="none"/>
        </w:rPr>
        <w:t xml:space="preserve">пертизы проектной документации, отдельных разделов проектной документации, а для сметной документации – проверка достоверности определения сметной стоимости, то экспертиза/проверка должна быть проведена до размещения извещения и/или документации о закупке.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При закупке услуг на модернизацию систем учета ЭЭ расчет НМЦ проектно-сметным методом осуществляется с учетом особенностей</w:t>
      </w:r>
      <w:r>
        <w:rPr>
          <w:color w:val="0000ff"/>
          <w:highlight w:val="none"/>
          <w:u w:val="single"/>
        </w:rPr>
        <w:t xml:space="preserve"> </w:t>
      </w:r>
      <w:hyperlink w:tooltip="#_Типовые_требования_к" w:anchor="_Типовые_требования_к" w:history="1">
        <w:r>
          <w:rPr>
            <w:color w:val="0000ff"/>
            <w:highlight w:val="none"/>
            <w:u w:val="single"/>
          </w:rPr>
          <w:t xml:space="preserve">раздела 18</w:t>
        </w:r>
      </w:hyperlink>
      <w:r>
        <w:rPr>
          <w:highlight w:val="none"/>
        </w:rPr>
        <w:t xml:space="preserve"> Положения.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Внутренними ОРД Общества может быть определен иной порядок расчета НМЦ закупок, указанных в</w:t>
      </w:r>
      <w:r>
        <w:rPr>
          <w:color w:val="0000ff"/>
          <w:highlight w:val="none"/>
          <w:u w:val="single"/>
        </w:rPr>
        <w:t xml:space="preserve"> </w:t>
      </w:r>
      <w:hyperlink w:tooltip="#п11_1" w:anchor="п11_1" w:history="1">
        <w:r>
          <w:rPr>
            <w:color w:val="0000ff"/>
            <w:highlight w:val="none"/>
            <w:u w:val="single"/>
          </w:rPr>
          <w:t xml:space="preserve">пункте 11.1</w:t>
        </w:r>
      </w:hyperlink>
      <w:r>
        <w:rPr>
          <w:highlight w:val="none"/>
        </w:rPr>
        <w:t xml:space="preserve"> Положения.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  <w:rPr>
          <w:highlight w:val="none"/>
        </w:rPr>
      </w:pPr>
      <w:r>
        <w:rPr>
          <w:highlight w:val="none"/>
        </w:rPr>
      </w:r>
      <w:bookmarkStart w:id="46" w:name="Р12"/>
      <w:r>
        <w:rPr>
          <w:highlight w:val="none"/>
        </w:rPr>
      </w:r>
      <w:bookmarkStart w:id="47" w:name="_Toc12"/>
      <w:r>
        <w:rPr>
          <w:highlight w:val="none"/>
        </w:rPr>
      </w:r>
      <w:bookmarkEnd w:id="46"/>
      <w:r>
        <w:rPr>
          <w:highlight w:val="none"/>
        </w:rPr>
        <w:t xml:space="preserve">Метод сметных расчетов</w:t>
      </w:r>
      <w:bookmarkEnd w:id="47"/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Метод сметных расчетов исп</w:t>
      </w:r>
      <w:r>
        <w:rPr>
          <w:highlight w:val="none"/>
        </w:rPr>
        <w:t xml:space="preserve">ользуется для определения стоимости работ по ремонту, техническому обслуживанию электросетевых объектов, зданий, сооружений, оборудования и т.д. Начальная (максимальная) цена договора на выполнение работ с использованием сметного метода рассчитывается на о</w:t>
      </w:r>
      <w:r>
        <w:rPr>
          <w:highlight w:val="none"/>
        </w:rPr>
        <w:t xml:space="preserve">сновании ведомостей укрупненных объемов работ, составленных по проектной или рабочей документации, либо на основе смет, составленных по описи работ (дефектной ведомости), подлежащих выполнению, технического задания или иной технической документации и т.п. 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К Обоснованию НМЦ прикладываются: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0"/>
          <w:numId w:val="28"/>
        </w:numPr>
        <w:contextualSpacing w:val="0"/>
        <w:widowControl w:val="off"/>
        <w:tabs>
          <w:tab w:val="left" w:pos="850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сметный расчет;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0"/>
          <w:numId w:val="28"/>
        </w:numPr>
        <w:contextualSpacing w:val="0"/>
        <w:widowControl w:val="off"/>
        <w:tabs>
          <w:tab w:val="left" w:pos="850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материалы к обоснованию расчета цены (дефектные ведомости, рабочую документацию и т.д.);</w:t>
      </w:r>
      <w:r>
        <w:rPr>
          <w:highlight w:val="none"/>
        </w:rPr>
      </w:r>
      <w:r>
        <w:rPr>
          <w:highlight w:val="none"/>
        </w:rPr>
      </w:r>
    </w:p>
    <w:p>
      <w:pPr>
        <w:pStyle w:val="1410"/>
        <w:numPr>
          <w:ilvl w:val="0"/>
          <w:numId w:val="28"/>
        </w:numPr>
        <w:contextualSpacing w:val="0"/>
        <w:widowControl w:val="off"/>
        <w:tabs>
          <w:tab w:val="left" w:pos="850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иные документы.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</w:pPr>
      <w:r/>
      <w:bookmarkStart w:id="48" w:name="Р13"/>
      <w:r/>
      <w:bookmarkStart w:id="49" w:name="_Toc13"/>
      <w:r/>
      <w:bookmarkEnd w:id="48"/>
      <w:r>
        <w:t xml:space="preserve">Метод определения цен по аналогам</w:t>
      </w:r>
      <w:bookmarkEnd w:id="49"/>
      <w:r/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Метод определения цен по аналогам применяется для расчета НМЦ договора </w:t>
      </w:r>
      <w:r>
        <w:br/>
        <w:t xml:space="preserve">при закупке продукции, не представленной на рынке и по которой невозможно найти конъюнктурные данные о ее рыночной стоимости, но при этом присутствует аналогичная продукция, имеющая небольшие отличия в функциональных и качественных характеристиках. Д</w:t>
      </w:r>
      <w:r>
        <w:t xml:space="preserve">анный метод предусматривает проведение исследований и анализа рынка на наличие предложений (цен) на аналогичную или схожую продукцию, которые затем путем применения поправок на различие в характеристиках и дополнительных свойствах приводятся к требованиям </w:t>
      </w:r>
      <w:r>
        <w:br/>
        <w:t xml:space="preserve">по закупаемой продукции. Расчет НМЦ договора может производиться путем индексации цены аналогичных в сопоставимых условиях товаров (работ, услуг), закупленных Обществом ранее на уровень инфляции (иных обоснованных коэффициентов).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При закупке услуг на модернизацию систем учета ЭЭ расчет НМЦ методом определения цен по аналогам осуществляется с учетом особенностей </w:t>
      </w:r>
      <w:hyperlink w:tooltip="#_Типовые_требования_к" w:anchor="_Типовые_требования_к" w:history="1">
        <w:r>
          <w:rPr>
            <w:color w:val="0000ff"/>
            <w:u w:val="single"/>
          </w:rPr>
          <w:t xml:space="preserve">раздела 18</w:t>
        </w:r>
      </w:hyperlink>
      <w:r>
        <w:t xml:space="preserve"> Положения.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Инициатор закупки может осуществлять поиск информации о ценах на аналогичную продукцию также, как при расчете НМЦ методом сопоставимых рыночных цен (анализ рынка) (</w:t>
      </w:r>
      <w:hyperlink w:tooltip="#П8_3_1" w:anchor="П8_3_1" w:history="1">
        <w:r>
          <w:rPr>
            <w:color w:val="0000ff"/>
            <w:u w:val="single"/>
          </w:rPr>
          <w:t xml:space="preserve">пункты 8.2.1</w:t>
        </w:r>
      </w:hyperlink>
      <w:r>
        <w:t xml:space="preserve"> и </w:t>
      </w:r>
      <w:hyperlink w:tooltip="#П8_3_2" w:anchor="П8_3_2" w:history="1">
        <w:r>
          <w:rPr>
            <w:color w:val="0000ff"/>
            <w:u w:val="single"/>
          </w:rPr>
          <w:t xml:space="preserve">8.2.2</w:t>
        </w:r>
      </w:hyperlink>
      <w:r>
        <w:t xml:space="preserve"> Положения).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Расчет НМЦ должен содержать информацию о проведенном анализе рынка и о проведенных корректировках для приведения предложения к требованиям к закупаемой продукции.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К Обоснованию НМЦ прикладываются:</w:t>
      </w:r>
      <w:r/>
    </w:p>
    <w:p>
      <w:pPr>
        <w:pStyle w:val="1410"/>
        <w:numPr>
          <w:ilvl w:val="0"/>
          <w:numId w:val="29"/>
        </w:numPr>
        <w:contextualSpacing w:val="0"/>
        <w:widowControl w:val="off"/>
        <w:tabs>
          <w:tab w:val="left" w:pos="850" w:leader="none"/>
        </w:tabs>
      </w:pPr>
      <w:r>
        <w:t xml:space="preserve">расчет цены методом определения цен по аналогам;</w:t>
      </w:r>
      <w:r/>
    </w:p>
    <w:p>
      <w:pPr>
        <w:pStyle w:val="1410"/>
        <w:numPr>
          <w:ilvl w:val="0"/>
          <w:numId w:val="29"/>
        </w:numPr>
        <w:contextualSpacing w:val="0"/>
        <w:widowControl w:val="off"/>
        <w:tabs>
          <w:tab w:val="left" w:pos="850" w:leader="none"/>
        </w:tabs>
      </w:pPr>
      <w:r>
        <w:t xml:space="preserve">материалы к обоснованию расчета цены;</w:t>
      </w:r>
      <w:r/>
    </w:p>
    <w:p>
      <w:pPr>
        <w:pStyle w:val="1410"/>
        <w:numPr>
          <w:ilvl w:val="0"/>
          <w:numId w:val="29"/>
        </w:numPr>
        <w:contextualSpacing w:val="0"/>
        <w:widowControl w:val="off"/>
        <w:tabs>
          <w:tab w:val="left" w:pos="850" w:leader="none"/>
        </w:tabs>
      </w:pPr>
      <w:r>
        <w:t xml:space="preserve">иные документы.</w:t>
      </w:r>
      <w:r/>
    </w:p>
    <w:p>
      <w:pPr>
        <w:pStyle w:val="1410"/>
        <w:contextualSpacing w:val="0"/>
        <w:ind w:left="0"/>
        <w:widowControl w:val="off"/>
        <w:tabs>
          <w:tab w:val="left" w:pos="850" w:leader="none"/>
        </w:tabs>
      </w:pPr>
      <w:r/>
      <w:r/>
    </w:p>
    <w:p>
      <w:pPr>
        <w:pStyle w:val="1365"/>
        <w:numPr>
          <w:ilvl w:val="0"/>
          <w:numId w:val="45"/>
        </w:numPr>
        <w:tabs>
          <w:tab w:val="clear" w:pos="850" w:leader="none"/>
        </w:tabs>
      </w:pPr>
      <w:r/>
      <w:bookmarkStart w:id="50" w:name="Р14"/>
      <w:r/>
      <w:bookmarkStart w:id="51" w:name="_Toc14"/>
      <w:r/>
      <w:bookmarkEnd w:id="50"/>
      <w:r>
        <w:t xml:space="preserve">Затратный метод</w:t>
      </w:r>
      <w:bookmarkEnd w:id="51"/>
      <w:r/>
      <w:r/>
    </w:p>
    <w:p>
      <w:pPr>
        <w:pStyle w:val="1410"/>
        <w:contextualSpacing w:val="0"/>
        <w:ind w:left="0"/>
        <w:widowControl w:val="off"/>
        <w:tabs>
          <w:tab w:val="left" w:pos="850" w:leader="none"/>
        </w:tabs>
      </w:pPr>
      <w:r/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Затратный метод применяется в случае невозможности применения иных методов, предусмотренных Положением, или в дополнение к иным методам.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Затратный метод заключается</w:t>
      </w:r>
      <w:r>
        <w:t xml:space="preserve"> в определении НМЦ как суммы произведенных затрат и обычной для определенной сферы деятельности прибыли с учетом нормативов затрат и (или) прибыли, установленных действующим законодательством и/или правовыми актами / распорядительными документами Общества.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При определении произведенных затрат учитываются обычные в подобных случаях прямые и косвенные затраты на производство или приобретение и/или реализацию продукции, затраты на транспортировку, хранение, страхование и иные затраты.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/>
      <w:bookmarkStart w:id="52" w:name="П14_4"/>
      <w:r/>
      <w:bookmarkEnd w:id="52"/>
      <w:r>
        <w:t xml:space="preserve">Информация об обычной прибыли для определенной сферы деятельности может быть получена Инициатором закупки исходя из анализа договоров, за</w:t>
      </w:r>
      <w:r>
        <w:t xml:space="preserve">ключенных Обществом или размещенных в ЕИС, других общедоступных источников информации, в том числе информации информационно-ценовых агентств, общедоступных результатов изучения рынка, а также результатов изучения рынка, проведенного по инициативе Общества.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Расчет НМЦ с указанием сведений, использованных для определения размера обычной прибыли согласно </w:t>
      </w:r>
      <w:hyperlink w:tooltip="#П14_4" w:anchor="П14_4" w:history="1">
        <w:r>
          <w:rPr>
            <w:color w:val="0000ff"/>
            <w:u w:val="single"/>
          </w:rPr>
          <w:t xml:space="preserve">пункту 14.4</w:t>
        </w:r>
      </w:hyperlink>
      <w:r>
        <w:t xml:space="preserve"> Положения, прикладывается к Обоснованию НМЦ.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В рамках затратного метода допускается установление величины НМЦ в виде общего объема (лимита) финансирования, предусмотренного бюджетом на закупку определенного вида продукц</w:t>
      </w:r>
      <w:r>
        <w:t xml:space="preserve">ии, с обязательным указанием начальной (максимальной) цены каждой единицы продукции, являющейся предметом закупки, в случае, если Исполнителем расчета представлено исчерпывающее обоснование невозможности применения иного метода расчета НМЦ, подтверждающее:</w:t>
      </w:r>
      <w:r/>
    </w:p>
    <w:p>
      <w:pPr>
        <w:pStyle w:val="1410"/>
        <w:numPr>
          <w:ilvl w:val="0"/>
          <w:numId w:val="35"/>
        </w:numPr>
        <w:contextualSpacing w:val="0"/>
        <w:widowControl w:val="off"/>
        <w:tabs>
          <w:tab w:val="left" w:pos="850" w:leader="none"/>
        </w:tabs>
      </w:pPr>
      <w:r>
        <w:t xml:space="preserve">отсутствие влияния применяемого метода расчета НМЦ на уровень конкуренции при проведении закупки, в том числе с использованием примеров проведения аналогичных закупок (если имеется);</w:t>
      </w:r>
      <w:r/>
    </w:p>
    <w:p>
      <w:pPr>
        <w:pStyle w:val="1410"/>
        <w:numPr>
          <w:ilvl w:val="0"/>
          <w:numId w:val="35"/>
        </w:numPr>
        <w:contextualSpacing w:val="0"/>
        <w:widowControl w:val="off"/>
        <w:tabs>
          <w:tab w:val="left" w:pos="850" w:leader="none"/>
        </w:tabs>
      </w:pPr>
      <w:r>
        <w:t xml:space="preserve">соответствие применяемого метода расчета НМЦ интересам и потребностям Общества, в том числе в части необходимости обеспечения своевременного и полного удовлетворения потребностей Общества;</w:t>
      </w:r>
      <w:r/>
    </w:p>
    <w:p>
      <w:pPr>
        <w:pStyle w:val="1410"/>
        <w:numPr>
          <w:ilvl w:val="0"/>
          <w:numId w:val="35"/>
        </w:numPr>
        <w:contextualSpacing w:val="0"/>
        <w:widowControl w:val="off"/>
        <w:tabs>
          <w:tab w:val="left" w:pos="850" w:leader="none"/>
        </w:tabs>
      </w:pPr>
      <w:r>
        <w:t xml:space="preserve">невозможность применения иных методов расчета НМЦ.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К Обоснованию НМЦ прикладывается расчет НМЦ по форме, установленной </w:t>
      </w:r>
      <w:hyperlink w:tooltip="#Приложение1_4" w:anchor="Приложение1_4" w:history="1">
        <w:r>
          <w:rPr>
            <w:color w:val="0000ff"/>
            <w:u w:val="single"/>
          </w:rPr>
          <w:t xml:space="preserve">приложением 1.4</w:t>
        </w:r>
      </w:hyperlink>
      <w:r>
        <w:t xml:space="preserve"> к Обоснованию НМЦ, включая обосновывающие материалы.</w:t>
      </w:r>
      <w:r/>
    </w:p>
    <w:p>
      <w:pPr>
        <w:ind w:firstLine="567"/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</w:pPr>
      <w:r/>
      <w:bookmarkStart w:id="53" w:name="Р15"/>
      <w:r/>
      <w:bookmarkStart w:id="54" w:name="_Toc15"/>
      <w:r/>
      <w:bookmarkEnd w:id="53"/>
      <w:r>
        <w:t xml:space="preserve">Комбинированный метод</w:t>
      </w:r>
      <w:bookmarkEnd w:id="54"/>
      <w:r/>
      <w:r/>
    </w:p>
    <w:p>
      <w:r/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Комби</w:t>
      </w:r>
      <w:r>
        <w:t xml:space="preserve">нированный метод расчета НМЦ договора применяется в случае закупки продукции, в отношении частей которой применимы различные методы определения цены (например, при закупке почтовых услуг стоимость одной части таких услуг может обосновываться тарифным метод</w:t>
      </w:r>
      <w:r>
        <w:t xml:space="preserve">ом, а стоимость другой части – анализом рынка), в т.ч. в случае закупки сложной продукции, либо в случае заключения по результатам закупки смешанного договора (например, заключения договора поставки товаров с выполнением связанных работ / оказанием услуг).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При закупке услуг на модернизацию систем учета ЭЭ расчет НМЦ комбинированным методом осуществляется с учетом особенностей </w:t>
      </w:r>
      <w:hyperlink w:tooltip="#_Типовые_требования_к" w:anchor="_Типовые_требования_к" w:history="1">
        <w:r>
          <w:rPr>
            <w:color w:val="0000ff"/>
            <w:u w:val="single"/>
          </w:rPr>
          <w:t xml:space="preserve">раздела 18</w:t>
        </w:r>
      </w:hyperlink>
      <w:r>
        <w:t xml:space="preserve"> Положения.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Если по применяемым методам есть форма расчета НМЦ (</w:t>
      </w:r>
      <w:hyperlink w:tooltip="#Приложение1_1" w:anchor="Приложение1_1" w:history="1">
        <w:r>
          <w:rPr>
            <w:color w:val="0000ff"/>
            <w:u w:val="single"/>
          </w:rPr>
          <w:t xml:space="preserve">приложения 1.1–1.5</w:t>
        </w:r>
      </w:hyperlink>
      <w:r>
        <w:t xml:space="preserve">), то эта форма применяется в части расчета этим методом.  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К Обоснованию НМЦ прикладываются:</w:t>
      </w:r>
      <w:r/>
    </w:p>
    <w:p>
      <w:pPr>
        <w:pStyle w:val="1410"/>
        <w:numPr>
          <w:ilvl w:val="0"/>
          <w:numId w:val="36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>
        <w:t xml:space="preserve">расчет цены комбинированным методом;</w:t>
      </w:r>
      <w:r/>
    </w:p>
    <w:p>
      <w:pPr>
        <w:pStyle w:val="1410"/>
        <w:numPr>
          <w:ilvl w:val="0"/>
          <w:numId w:val="36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>
        <w:t xml:space="preserve">материалы к обоснованию расчета цены;</w:t>
      </w:r>
      <w:r/>
    </w:p>
    <w:p>
      <w:pPr>
        <w:pStyle w:val="1410"/>
        <w:numPr>
          <w:ilvl w:val="0"/>
          <w:numId w:val="36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>
        <w:t xml:space="preserve">иные документы.</w:t>
      </w:r>
      <w:r/>
    </w:p>
    <w:p>
      <w:pPr>
        <w:ind w:firstLine="567"/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</w:pPr>
      <w:r/>
      <w:bookmarkStart w:id="55" w:name="Р16"/>
      <w:r/>
      <w:bookmarkStart w:id="56" w:name="_Toc16"/>
      <w:r/>
      <w:bookmarkEnd w:id="55"/>
      <w:r>
        <w:t xml:space="preserve">Иной метод</w:t>
      </w:r>
      <w:bookmarkEnd w:id="56"/>
      <w:r/>
      <w:r/>
    </w:p>
    <w:p>
      <w:pPr>
        <w:ind w:firstLine="567"/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Применяется в случае невозможности применения для определения НМЦ договора методов, указанных в </w:t>
      </w:r>
      <w:hyperlink w:tooltip="#_Методы_определения_НМЦ" w:anchor="_Методы_определения_НМЦ" w:history="1">
        <w:r>
          <w:rPr>
            <w:color w:val="0000ff"/>
            <w:u w:val="single"/>
          </w:rPr>
          <w:t xml:space="preserve">пунктах 8–15</w:t>
        </w:r>
      </w:hyperlink>
      <w:r>
        <w:t xml:space="preserve"> Положения, при этом в Обосновании НМЦ Инициатор закупки обязан указать причины невозможности применения установленных настоящим Положением методов.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К Обоснованию НМЦ прикладываются:</w:t>
      </w:r>
      <w:r/>
    </w:p>
    <w:p>
      <w:pPr>
        <w:pStyle w:val="1410"/>
        <w:numPr>
          <w:ilvl w:val="0"/>
          <w:numId w:val="37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>
        <w:t xml:space="preserve">расчет цены иным методом;</w:t>
      </w:r>
      <w:r/>
    </w:p>
    <w:p>
      <w:pPr>
        <w:pStyle w:val="1410"/>
        <w:numPr>
          <w:ilvl w:val="0"/>
          <w:numId w:val="37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>
        <w:t xml:space="preserve">материалы к обоснованию расчета цены;</w:t>
      </w:r>
      <w:r/>
    </w:p>
    <w:p>
      <w:pPr>
        <w:pStyle w:val="1410"/>
        <w:numPr>
          <w:ilvl w:val="0"/>
          <w:numId w:val="37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>
        <w:t xml:space="preserve">иные документы.</w:t>
      </w:r>
      <w:bookmarkEnd w:id="23"/>
      <w:r/>
      <w:bookmarkEnd w:id="24"/>
      <w:r/>
      <w:bookmarkEnd w:id="25"/>
      <w:r/>
      <w:bookmarkEnd w:id="26"/>
      <w:r/>
      <w:r/>
    </w:p>
    <w:p>
      <w:pPr>
        <w:ind w:firstLine="567"/>
        <w:jc w:val="both"/>
        <w:widowControl/>
        <w:tabs>
          <w:tab w:val="left" w:pos="85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</w:pPr>
      <w:r/>
      <w:bookmarkStart w:id="57" w:name="_17_Особенн"/>
      <w:r/>
      <w:bookmarkStart w:id="58" w:name="Р17"/>
      <w:r/>
      <w:bookmarkStart w:id="59" w:name="_Ref32924081"/>
      <w:r/>
      <w:bookmarkStart w:id="60" w:name="_Ref32924448"/>
      <w:r/>
      <w:bookmarkStart w:id="61" w:name="_Ref32924709"/>
      <w:r/>
      <w:bookmarkStart w:id="62" w:name="_Toc17"/>
      <w:r/>
      <w:bookmarkEnd w:id="57"/>
      <w:r/>
      <w:bookmarkEnd w:id="58"/>
      <w:r>
        <w:t xml:space="preserve">Особенности определения НМЦ договора методом сопоставимых рыночных цен (анализа рынка) при закупке консультационных</w:t>
      </w:r>
      <w:bookmarkEnd w:id="59"/>
      <w:r/>
      <w:bookmarkEnd w:id="60"/>
      <w:r/>
      <w:bookmarkEnd w:id="61"/>
      <w:r>
        <w:t xml:space="preserve"> услуг</w:t>
      </w:r>
      <w:bookmarkEnd w:id="62"/>
      <w:r/>
      <w:r/>
    </w:p>
    <w:p>
      <w:pPr>
        <w:ind w:firstLine="567"/>
        <w:jc w:val="both"/>
        <w:keepLines/>
        <w:keepNext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При расчете НМЦ методом сопоставимых рыночных цен (анализа рынка) при закупке консультационных услуг применяются положения </w:t>
      </w:r>
      <w:hyperlink w:tooltip="#раздел8" w:anchor="раздел8" w:history="1">
        <w:r>
          <w:rPr>
            <w:color w:val="0000ff"/>
            <w:u w:val="single"/>
          </w:rPr>
          <w:t xml:space="preserve">раздела 8</w:t>
        </w:r>
      </w:hyperlink>
      <w:r>
        <w:t xml:space="preserve"> с учетом особенностей настоящего раздела.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/>
      <w:bookmarkStart w:id="63" w:name="П17_2"/>
      <w:r/>
      <w:bookmarkStart w:id="64" w:name="_Ref44405692"/>
      <w:r/>
      <w:bookmarkEnd w:id="63"/>
      <w:r>
        <w:t xml:space="preserve">Определение НМЦ методом сопоставимых рыночных цен (анализа рынка) при закупке консультационных услуг заключается в определении НМЦ на основании информации о рыночных ценах услуг при одновременном раскрытии информации о трудозатратах по проекту.</w:t>
      </w:r>
      <w:bookmarkEnd w:id="64"/>
      <w:r/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Запросы о предоставлении коммерческих предложений направляются по форме </w:t>
      </w:r>
      <w:hyperlink w:tooltip="#_Форма_запроса_коммерческих" w:anchor="_Форма_запроса_коммерческих" w:history="1">
        <w:r>
          <w:rPr>
            <w:color w:val="0000ff"/>
            <w:u w:val="single"/>
          </w:rPr>
          <w:t xml:space="preserve">приложения 3.</w:t>
        </w:r>
      </w:hyperlink>
      <w:r/>
      <w:r/>
    </w:p>
    <w:p>
      <w:pPr>
        <w:ind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Оформление расчета НМЦ осуществляется в соответствии с порядком, определенным </w:t>
      </w:r>
      <w:r>
        <w:rPr>
          <w:color w:val="0000ff"/>
          <w:sz w:val="24"/>
          <w:szCs w:val="24"/>
          <w:u w:val="single"/>
        </w:rPr>
        <w:t xml:space="preserve">пунктом </w:t>
      </w:r>
      <w:r>
        <w:rPr>
          <w:color w:val="0000ff"/>
          <w:sz w:val="24"/>
          <w:szCs w:val="24"/>
          <w:u w:val="single"/>
        </w:rPr>
        <w:fldChar w:fldCharType="begin"/>
      </w:r>
      <w:r>
        <w:rPr>
          <w:color w:val="0000ff"/>
          <w:sz w:val="24"/>
          <w:szCs w:val="24"/>
          <w:u w:val="single"/>
        </w:rPr>
        <w:instrText xml:space="preserve"> REF _Ref43970723 \r \h  \* MERGEFORMAT </w:instrText>
      </w:r>
      <w:r>
        <w:rPr>
          <w:color w:val="0000ff"/>
          <w:sz w:val="24"/>
          <w:szCs w:val="24"/>
          <w:u w:val="single"/>
        </w:rPr>
        <w:fldChar w:fldCharType="separate"/>
      </w:r>
      <w:r>
        <w:rPr>
          <w:color w:val="0000ff"/>
          <w:sz w:val="24"/>
          <w:szCs w:val="24"/>
          <w:u w:val="single"/>
        </w:rPr>
        <w:t xml:space="preserve">17.4</w:t>
      </w:r>
      <w:r>
        <w:rPr>
          <w:color w:val="0000ff"/>
          <w:sz w:val="24"/>
          <w:szCs w:val="24"/>
          <w:u w:val="single"/>
        </w:rPr>
        <w:fldChar w:fldCharType="end"/>
      </w:r>
      <w:r>
        <w:rPr>
          <w:color w:val="0000ff"/>
          <w:sz w:val="24"/>
          <w:szCs w:val="24"/>
          <w:u w:val="single"/>
        </w:rPr>
        <w:t xml:space="preserve"> Положения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/>
      <w:bookmarkStart w:id="65" w:name="_Ref32923925"/>
      <w:r/>
      <w:bookmarkStart w:id="66" w:name="_Ref43970723"/>
      <w:r>
        <w:t xml:space="preserve">Порядок оформления </w:t>
      </w:r>
      <w:hyperlink w:tooltip="#Приложение1_5" w:anchor="Приложение1_5" w:history="1">
        <w:r>
          <w:rPr>
            <w:color w:val="0000ff"/>
            <w:u w:val="single"/>
          </w:rPr>
          <w:t xml:space="preserve">приложения 1.5</w:t>
        </w:r>
      </w:hyperlink>
      <w:r>
        <w:t xml:space="preserve"> к Обоснованию НМЦ:</w:t>
      </w:r>
      <w:bookmarkEnd w:id="65"/>
      <w:r/>
      <w:bookmarkEnd w:id="66"/>
      <w:r/>
      <w:r/>
    </w:p>
    <w:p>
      <w:pPr>
        <w:pStyle w:val="1410"/>
        <w:numPr>
          <w:ilvl w:val="1"/>
          <w:numId w:val="8"/>
        </w:numPr>
        <w:contextualSpacing w:val="0"/>
        <w:widowControl w:val="off"/>
        <w:tabs>
          <w:tab w:val="left" w:pos="850" w:leader="none"/>
          <w:tab w:val="left" w:pos="1134" w:leader="none"/>
        </w:tabs>
      </w:pPr>
      <w:r>
        <w:t xml:space="preserve">оформление всех разделов и строк приложения является обязательным.</w:t>
      </w:r>
      <w:r/>
    </w:p>
    <w:p>
      <w:pPr>
        <w:pStyle w:val="1410"/>
        <w:numPr>
          <w:ilvl w:val="1"/>
          <w:numId w:val="8"/>
        </w:numPr>
        <w:contextualSpacing w:val="0"/>
        <w:widowControl w:val="off"/>
        <w:tabs>
          <w:tab w:val="left" w:pos="850" w:leader="none"/>
          <w:tab w:val="left" w:pos="1134" w:leader="none"/>
        </w:tabs>
      </w:pPr>
      <w:r>
        <w:t xml:space="preserve">форма заполняется совместно ЦФО-заявителем и ЦФО-пользователем.</w:t>
      </w:r>
      <w:r/>
    </w:p>
    <w:p>
      <w:pPr>
        <w:pStyle w:val="1410"/>
        <w:numPr>
          <w:ilvl w:val="1"/>
          <w:numId w:val="8"/>
        </w:numPr>
        <w:contextualSpacing w:val="0"/>
        <w:widowControl w:val="off"/>
        <w:tabs>
          <w:tab w:val="left" w:pos="850" w:leader="none"/>
          <w:tab w:val="left" w:pos="1134" w:leader="none"/>
        </w:tabs>
      </w:pPr>
      <w:r>
        <w:t xml:space="preserve">раздел 1 «Обоснование необходимости» заполняется ЦФО-заявителем или ЦФО-пользователем, по соглашению между ними.</w:t>
      </w:r>
      <w:r/>
    </w:p>
    <w:p>
      <w:pPr>
        <w:pStyle w:val="1410"/>
        <w:numPr>
          <w:ilvl w:val="1"/>
          <w:numId w:val="8"/>
        </w:numPr>
        <w:contextualSpacing w:val="0"/>
        <w:widowControl w:val="off"/>
        <w:tabs>
          <w:tab w:val="left" w:pos="850" w:leader="none"/>
          <w:tab w:val="left" w:pos="1134" w:leader="none"/>
        </w:tabs>
      </w:pPr>
      <w:r>
        <w:t xml:space="preserve">в строке «Обоснование необходимости оказания услуг» раздела 1 описывается цель консультационной услуги, планируемый результат, сфера применения полученного результата.</w:t>
      </w:r>
      <w:r/>
    </w:p>
    <w:p>
      <w:pPr>
        <w:pStyle w:val="1410"/>
        <w:numPr>
          <w:ilvl w:val="1"/>
          <w:numId w:val="8"/>
        </w:numPr>
        <w:contextualSpacing w:val="0"/>
        <w:widowControl w:val="off"/>
        <w:tabs>
          <w:tab w:val="left" w:pos="850" w:leader="none"/>
          <w:tab w:val="left" w:pos="1134" w:leader="none"/>
        </w:tabs>
      </w:pPr>
      <w:r>
        <w:t xml:space="preserve">строка «Влияние полученного результ</w:t>
      </w:r>
      <w:r>
        <w:t xml:space="preserve">ата оказанных услуг на надежность» заполняется в том случае, если результаты выполненного проекта прямо влияют на показатель надежности оказания электросетевых услуг. В случае, если такое влияние отсутствует, в соответствующем поле указывается «не влияет».</w:t>
      </w:r>
      <w:r/>
    </w:p>
    <w:p>
      <w:pPr>
        <w:pStyle w:val="1410"/>
        <w:numPr>
          <w:ilvl w:val="1"/>
          <w:numId w:val="8"/>
        </w:numPr>
        <w:contextualSpacing w:val="0"/>
        <w:widowControl w:val="off"/>
        <w:tabs>
          <w:tab w:val="left" w:pos="850" w:leader="none"/>
          <w:tab w:val="left" w:pos="1134" w:leader="none"/>
        </w:tabs>
      </w:pPr>
      <w:r>
        <w:t xml:space="preserve">в строке «Экономический эффект от применения результатов оказанных услуг в электросетевом к</w:t>
      </w:r>
      <w:r>
        <w:t xml:space="preserve">омплексе» приводится сумма экономического эффекта, порядок его расчета, статья бизнес-плана ДЗО Общества и/или бюджета Общества, по которой ожидается получение указанного эффекта, а также период/периоды, в которых планируется получать экономический эффект.</w:t>
      </w:r>
      <w:r/>
    </w:p>
    <w:p>
      <w:pPr>
        <w:pStyle w:val="1410"/>
        <w:numPr>
          <w:ilvl w:val="1"/>
          <w:numId w:val="8"/>
        </w:numPr>
        <w:contextualSpacing w:val="0"/>
        <w:widowControl w:val="off"/>
        <w:tabs>
          <w:tab w:val="left" w:pos="850" w:leader="none"/>
          <w:tab w:val="left" w:pos="1134" w:leader="none"/>
        </w:tabs>
      </w:pPr>
      <w:r>
        <w:t xml:space="preserve">раздел 2 «Анализ рынка при расчете начальной (максимальной) цены договора» заполняется ЦФО-заявителем. При условии наличия активного рынка услуг, в форме обоснования указываются данные о не менее трех компетентных исполнителях оказываемых услуг. </w:t>
      </w:r>
      <w:r>
        <w:br/>
        <w:t xml:space="preserve">При отсутствии предложений на оказание аналогичных услуг на рынке указываются данные о единственном исполнителе оказываемых услуг и приводится обоснование невозможности привлечения других контрагентов (раздел «Обоснование отбора»).</w:t>
      </w:r>
      <w:r/>
    </w:p>
    <w:p>
      <w:pPr>
        <w:pStyle w:val="1410"/>
        <w:numPr>
          <w:ilvl w:val="1"/>
          <w:numId w:val="8"/>
        </w:numPr>
        <w:contextualSpacing w:val="0"/>
        <w:widowControl w:val="off"/>
        <w:tabs>
          <w:tab w:val="left" w:pos="850" w:leader="none"/>
          <w:tab w:val="left" w:pos="1134" w:leader="none"/>
        </w:tabs>
      </w:pPr>
      <w:r>
        <w:t xml:space="preserve">к разделу 2 «Анализ рынка при расчете первоначальной (максимальной) цены договора» прикладывается расчет стоимости консультационных услуг от каждого заявленного контрагента.</w:t>
      </w:r>
      <w:r/>
    </w:p>
    <w:p>
      <w:pPr>
        <w:pStyle w:val="1410"/>
        <w:numPr>
          <w:ilvl w:val="1"/>
          <w:numId w:val="8"/>
        </w:numPr>
        <w:contextualSpacing w:val="0"/>
        <w:widowControl w:val="off"/>
        <w:tabs>
          <w:tab w:val="left" w:pos="850" w:leader="none"/>
          <w:tab w:val="left" w:pos="1134" w:leader="none"/>
        </w:tabs>
      </w:pPr>
      <w:r/>
      <w:bookmarkStart w:id="67" w:name="_Ref45120696"/>
      <w:r>
        <w:t xml:space="preserve">раздел 3 «Заключение департамента экономики» заполняется уполномоченным работником </w:t>
      </w:r>
      <w:r>
        <w:rPr>
          <w:spacing w:val="-2"/>
        </w:rPr>
        <w:t xml:space="preserve">департамента эконо</w:t>
      </w:r>
      <w:r>
        <w:rPr>
          <w:spacing w:val="-2"/>
        </w:rPr>
        <w:t xml:space="preserve">мики на этапе согласования проекта договора к закупке. В данном разделе департамент экономики подтверждает наличие экономического эффекта, полученного от применения результатов оказанных услуг, в утвержденных бизнес-планах ДЗО Общества и бюджете Общества. </w:t>
      </w:r>
      <w:r>
        <w:rPr>
          <w:spacing w:val="-2"/>
        </w:rPr>
        <w:t xml:space="preserve">На этапе формирования Плана закупки заполнение данного раздела не обязательно.</w:t>
      </w:r>
      <w:bookmarkEnd w:id="67"/>
      <w:r/>
      <w:r/>
    </w:p>
    <w:p>
      <w:pPr>
        <w:ind w:firstLine="567"/>
        <w:jc w:val="both"/>
        <w:tabs>
          <w:tab w:val="left" w:pos="85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keepLines/>
        <w:keepNext/>
        <w:tabs>
          <w:tab w:val="clear" w:pos="850" w:leader="none"/>
        </w:tabs>
      </w:pPr>
      <w:r/>
      <w:bookmarkStart w:id="68" w:name="_Типовые_требования_к"/>
      <w:r/>
      <w:bookmarkStart w:id="69" w:name="_Toc18"/>
      <w:r/>
      <w:bookmarkEnd w:id="68"/>
      <w:r>
        <w:t xml:space="preserve">Типовые требования к расчету НМЦ на модернизацию систем учета электроэнергии с использованием нетарифных источников финансирования, за исключением договоров, финансируемых за счет средств финансовой поддержки</w:t>
      </w:r>
      <w:bookmarkEnd w:id="69"/>
      <w:r/>
      <w:r/>
    </w:p>
    <w:p>
      <w:pPr>
        <w:ind w:firstLine="567"/>
        <w:jc w:val="both"/>
        <w:keepLines/>
        <w:keepNext/>
        <w:widowControl/>
        <w:tabs>
          <w:tab w:val="left" w:pos="85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keepLines/>
        <w:keepNext/>
        <w:tabs>
          <w:tab w:val="left" w:pos="1134" w:leader="none"/>
        </w:tabs>
      </w:pPr>
      <w:r/>
      <w:bookmarkStart w:id="70" w:name="П18_1"/>
      <w:r/>
      <w:bookmarkEnd w:id="70"/>
      <w:r>
        <w:t xml:space="preserve">НМЦ услуги на модернизацию систем учета ЭЭ определяется и обосновывается посредством применения следующих методов:</w:t>
      </w:r>
      <w:r/>
    </w:p>
    <w:p>
      <w:pPr>
        <w:pStyle w:val="1410"/>
        <w:numPr>
          <w:ilvl w:val="0"/>
          <w:numId w:val="25"/>
        </w:numPr>
        <w:contextualSpacing w:val="0"/>
        <w:widowControl w:val="off"/>
        <w:tabs>
          <w:tab w:val="left" w:pos="850" w:leader="none"/>
        </w:tabs>
      </w:pPr>
      <w:r/>
      <w:bookmarkStart w:id="71" w:name="ппа18_1"/>
      <w:r/>
      <w:bookmarkEnd w:id="71"/>
      <w:r>
        <w:t xml:space="preserve">проектно-сметный</w:t>
      </w:r>
      <w:r>
        <w:t xml:space="preserve"> метод является приоритетным и заключается в определении НМЦ на основании проектной документации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в </w:t>
      </w:r>
      <w:r>
        <w:t xml:space="preserve">соответствии с компетенцией федеральным органом исполнительной власти, осуществляющим функции по выработке государственной политики и нормативно-правовому регулированию в сфере строительства, или органом исполнительной власти субъекта Российской Федерации;</w:t>
      </w:r>
      <w:r/>
    </w:p>
    <w:p>
      <w:pPr>
        <w:pStyle w:val="1410"/>
        <w:numPr>
          <w:ilvl w:val="0"/>
          <w:numId w:val="25"/>
        </w:numPr>
        <w:contextualSpacing w:val="0"/>
        <w:widowControl w:val="off"/>
        <w:tabs>
          <w:tab w:val="left" w:pos="850" w:leader="none"/>
        </w:tabs>
      </w:pPr>
      <w:r/>
      <w:bookmarkStart w:id="72" w:name="ппб18_1"/>
      <w:r/>
      <w:bookmarkStart w:id="73" w:name="_Ref149654077"/>
      <w:r/>
      <w:bookmarkEnd w:id="72"/>
      <w:r>
        <w:t xml:space="preserve">метод определения цен по аналогам на основании данных о стоимости строительства объектов-аналогов с</w:t>
      </w:r>
      <w:r>
        <w:t xml:space="preserve">огласно сметной части проектной документации (ССРСС в уровне цен на дату утверждения сметной документации), разработанной в составе утвержденной в соответствии с законодательством о градостроительной деятельности проектной документации по объекту-аналогу);</w:t>
      </w:r>
      <w:bookmarkEnd w:id="73"/>
      <w:r>
        <w:t xml:space="preserve"> </w:t>
      </w:r>
      <w:r/>
    </w:p>
    <w:p>
      <w:pPr>
        <w:pStyle w:val="1410"/>
        <w:numPr>
          <w:ilvl w:val="0"/>
          <w:numId w:val="25"/>
        </w:numPr>
        <w:contextualSpacing w:val="0"/>
        <w:widowControl w:val="off"/>
        <w:tabs>
          <w:tab w:val="left" w:pos="850" w:leader="none"/>
        </w:tabs>
      </w:pPr>
      <w:r>
        <w:t xml:space="preserve">метод сопоставимых рыночных цен (анализа рынка) применяется при отсутствии утвержденной проектной документации на основании не мен</w:t>
      </w:r>
      <w:r>
        <w:t xml:space="preserve">ее трех технико-коммерческих предложений на выполнение работ, при отсутствии соответствующих сметных нормативов на отдельные виды работ и затрат, включенных в федеральный реестр сметных нормативов(ФРСН), а также возможности применения методов, указанных в </w:t>
      </w:r>
      <w:r>
        <w:rPr>
          <w:color w:val="0000ff"/>
          <w:u w:val="single"/>
        </w:rPr>
        <w:t xml:space="preserve">подпунктах «</w:t>
      </w:r>
      <w:hyperlink w:tooltip="#ппа18_1" w:anchor="ппа18_1" w:history="1">
        <w:r>
          <w:rPr>
            <w:color w:val="0000ff"/>
            <w:u w:val="single"/>
          </w:rPr>
          <w:t xml:space="preserve">а)</w:t>
        </w:r>
      </w:hyperlink>
      <w:r>
        <w:rPr>
          <w:color w:val="0000ff"/>
          <w:u w:val="single"/>
        </w:rPr>
        <w:t xml:space="preserve">»</w:t>
      </w:r>
      <w:r>
        <w:t xml:space="preserve"> и «</w:t>
      </w:r>
      <w:hyperlink w:tooltip="#ппб18_1" w:anchor="ппб18_1" w:history="1">
        <w:r>
          <w:rPr>
            <w:color w:val="0000ff"/>
            <w:u w:val="single"/>
          </w:rPr>
          <w:t xml:space="preserve">б)</w:t>
        </w:r>
      </w:hyperlink>
      <w:r>
        <w:t xml:space="preserve">» </w:t>
      </w:r>
      <w:hyperlink w:tooltip="#П18_1" w:anchor="П18_1" w:history="1">
        <w:r>
          <w:rPr>
            <w:color w:val="0000ff"/>
            <w:u w:val="single"/>
          </w:rPr>
          <w:t xml:space="preserve">пункта 18.1</w:t>
        </w:r>
      </w:hyperlink>
      <w:r>
        <w:rPr>
          <w:color w:val="0000ff"/>
          <w:u w:val="single"/>
        </w:rPr>
        <w:t xml:space="preserve"> </w:t>
      </w:r>
      <w:r>
        <w:t xml:space="preserve">в соответствии с требованиями методики, утвержденной приказом Минстроя России от 04.08.2020 № 421/пр.  </w:t>
      </w:r>
      <w:r/>
    </w:p>
    <w:p>
      <w:pPr>
        <w:pStyle w:val="1410"/>
        <w:numPr>
          <w:ilvl w:val="0"/>
          <w:numId w:val="25"/>
        </w:numPr>
        <w:contextualSpacing w:val="0"/>
        <w:widowControl w:val="off"/>
        <w:tabs>
          <w:tab w:val="left" w:pos="850" w:leader="none"/>
        </w:tabs>
      </w:pPr>
      <w:r>
        <w:t xml:space="preserve">комбинированный метод (предусматривает сочетание (не менее двух) вышеуказанных методов).</w:t>
      </w:r>
      <w:r/>
    </w:p>
    <w:p>
      <w:pPr>
        <w:pStyle w:val="1410"/>
        <w:contextualSpacing w:val="0"/>
        <w:ind w:left="0"/>
        <w:widowControl w:val="off"/>
      </w:pPr>
      <w:r>
        <w:t xml:space="preserve">Выбор метода определения и обоснования НМЦ или единицы продукции осуществляется инициатором закупки, при этом НМЦ должно быть не выше затрат, сформированных в соответствии с </w:t>
      </w:r>
      <w:hyperlink w:tooltip="#П18_4" w:anchor="П18_4" w:history="1">
        <w:r>
          <w:rPr>
            <w:color w:val="0000ff"/>
            <w:u w:val="single"/>
          </w:rPr>
          <w:t xml:space="preserve">пунктом 18.4</w:t>
        </w:r>
      </w:hyperlink>
      <w:r>
        <w:t xml:space="preserve"> Положения.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/>
      <w:bookmarkStart w:id="74" w:name="п18_2"/>
      <w:r/>
      <w:bookmarkStart w:id="75" w:name="_Ref149654136"/>
      <w:r/>
      <w:bookmarkEnd w:id="74"/>
      <w:r>
        <w:t xml:space="preserve">НМЦ включает в себя:</w:t>
      </w:r>
      <w:bookmarkEnd w:id="75"/>
      <w:r/>
      <w:r/>
    </w:p>
    <w:p>
      <w:pPr>
        <w:pStyle w:val="1410"/>
        <w:numPr>
          <w:ilvl w:val="2"/>
          <w:numId w:val="10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/>
      <w:bookmarkStart w:id="76" w:name="ппа18_2"/>
      <w:r/>
      <w:bookmarkStart w:id="77" w:name="_Ref149654144"/>
      <w:r/>
      <w:bookmarkEnd w:id="76"/>
      <w:r>
        <w:t xml:space="preserve">стоимость оборудования и материалов, используемых подрядной организацией на объектах Общества для целей исполнения договора;</w:t>
      </w:r>
      <w:bookmarkEnd w:id="77"/>
      <w:r/>
      <w:r/>
    </w:p>
    <w:p>
      <w:pPr>
        <w:pStyle w:val="1410"/>
        <w:numPr>
          <w:ilvl w:val="2"/>
          <w:numId w:val="10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/>
      <w:bookmarkStart w:id="78" w:name="ппб18_2"/>
      <w:r/>
      <w:bookmarkStart w:id="79" w:name="_Ref149654234"/>
      <w:r/>
      <w:bookmarkEnd w:id="78"/>
      <w:r>
        <w:t xml:space="preserve">стоимость предпроектного обследования и проектных работ;</w:t>
      </w:r>
      <w:bookmarkEnd w:id="79"/>
      <w:r/>
      <w:r/>
    </w:p>
    <w:p>
      <w:pPr>
        <w:pStyle w:val="1410"/>
        <w:numPr>
          <w:ilvl w:val="2"/>
          <w:numId w:val="10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/>
      <w:bookmarkStart w:id="80" w:name="ппв18_2"/>
      <w:r/>
      <w:bookmarkStart w:id="81" w:name="_Ref149654129"/>
      <w:r/>
      <w:bookmarkEnd w:id="80"/>
      <w:r>
        <w:t xml:space="preserve">затраты на строительно-монтажные и пусконаладочные работы;</w:t>
      </w:r>
      <w:bookmarkEnd w:id="81"/>
      <w:r/>
      <w:r/>
    </w:p>
    <w:p>
      <w:pPr>
        <w:pStyle w:val="1410"/>
        <w:numPr>
          <w:ilvl w:val="2"/>
          <w:numId w:val="10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/>
      <w:bookmarkStart w:id="82" w:name="ппг18_2"/>
      <w:r/>
      <w:bookmarkStart w:id="83" w:name="_Ref149654209"/>
      <w:r/>
      <w:bookmarkEnd w:id="82"/>
      <w:r>
        <w:t xml:space="preserve">затраты на страхование оборудования (не более 1 % от суммарных затрат по </w:t>
      </w:r>
      <w:r>
        <w:rPr>
          <w:color w:val="0000ff"/>
          <w:u w:val="single"/>
        </w:rPr>
        <w:t xml:space="preserve">подпунктам «</w:t>
      </w:r>
      <w:hyperlink w:tooltip="#ппа18_2" w:anchor="ппа18_2" w:history="1">
        <w:r>
          <w:rPr>
            <w:color w:val="0000ff"/>
            <w:u w:val="single"/>
          </w:rPr>
          <w:t xml:space="preserve">а)</w:t>
        </w:r>
      </w:hyperlink>
      <w:r>
        <w:rPr>
          <w:color w:val="0000ff"/>
          <w:u w:val="single"/>
        </w:rPr>
        <w:t xml:space="preserve">»</w:t>
      </w:r>
      <w:r>
        <w:t xml:space="preserve"> и </w:t>
      </w:r>
      <w:r>
        <w:rPr>
          <w:color w:val="0000ff"/>
          <w:u w:val="single"/>
        </w:rPr>
        <w:t xml:space="preserve">«</w:t>
      </w:r>
      <w:hyperlink w:tooltip="#ппв18_2" w:anchor="ппв18_2" w:history="1">
        <w:r>
          <w:rPr>
            <w:color w:val="0000ff"/>
            <w:u w:val="single"/>
          </w:rPr>
          <w:t xml:space="preserve">в)</w:t>
        </w:r>
      </w:hyperlink>
      <w:r>
        <w:rPr>
          <w:color w:val="0000ff"/>
          <w:u w:val="single"/>
        </w:rPr>
        <w:t xml:space="preserve">» пункта 18.2</w:t>
      </w:r>
      <w:r>
        <w:rPr>
          <w:color w:val="0000ff"/>
        </w:rPr>
        <w:t xml:space="preserve">  </w:t>
      </w:r>
      <w:r>
        <w:t xml:space="preserve">Положения);</w:t>
      </w:r>
      <w:bookmarkEnd w:id="83"/>
      <w:r/>
      <w:r/>
    </w:p>
    <w:p>
      <w:pPr>
        <w:pStyle w:val="1410"/>
        <w:numPr>
          <w:ilvl w:val="2"/>
          <w:numId w:val="10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/>
      <w:bookmarkStart w:id="84" w:name="ппд18_2"/>
      <w:r/>
      <w:bookmarkStart w:id="85" w:name="_Ref149654328"/>
      <w:r/>
      <w:bookmarkEnd w:id="84"/>
      <w:r>
        <w:t xml:space="preserve">выплаты процентов за пользование заемными средствами;</w:t>
      </w:r>
      <w:bookmarkEnd w:id="85"/>
      <w:r/>
      <w:r/>
    </w:p>
    <w:p>
      <w:pPr>
        <w:pStyle w:val="1410"/>
        <w:numPr>
          <w:ilvl w:val="2"/>
          <w:numId w:val="10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>
        <w:t xml:space="preserve">расходы на эксплуатацию оборудования на период действия договора с учетом обменного фонда (ЗиП) не более 3 % от планового количества оборудования по </w:t>
      </w:r>
      <w:r>
        <w:rPr>
          <w:color w:val="0000ff"/>
          <w:u w:val="single"/>
        </w:rPr>
        <w:t xml:space="preserve">подпункту «</w:t>
      </w:r>
      <w:hyperlink w:tooltip="#ппа18_2" w:anchor="ппа18_2" w:history="1">
        <w:r>
          <w:rPr>
            <w:color w:val="0000ff"/>
            <w:u w:val="single"/>
          </w:rPr>
          <w:t xml:space="preserve">а)</w:t>
        </w:r>
      </w:hyperlink>
      <w:r>
        <w:rPr>
          <w:color w:val="0000ff"/>
          <w:u w:val="single"/>
        </w:rPr>
        <w:t xml:space="preserve">» пункта 18.2</w:t>
      </w:r>
      <w:r>
        <w:t xml:space="preserve"> Положения;</w:t>
      </w:r>
      <w:r/>
    </w:p>
    <w:p>
      <w:pPr>
        <w:pStyle w:val="1410"/>
        <w:numPr>
          <w:ilvl w:val="2"/>
          <w:numId w:val="10"/>
        </w:numPr>
        <w:contextualSpacing w:val="0"/>
        <w:ind w:left="0" w:firstLine="567"/>
        <w:widowControl w:val="off"/>
        <w:tabs>
          <w:tab w:val="left" w:pos="850" w:leader="none"/>
          <w:tab w:val="left" w:pos="1134" w:leader="none"/>
        </w:tabs>
      </w:pPr>
      <w:r>
        <w:t xml:space="preserve">прибыль подрядной организации в размере не более 10 % от суммарных затрат по </w:t>
      </w:r>
      <w:r>
        <w:rPr>
          <w:color w:val="0000ff"/>
          <w:u w:val="single"/>
        </w:rPr>
        <w:t xml:space="preserve">подпунктам «</w:t>
      </w:r>
      <w:hyperlink w:tooltip="#ппа18_2" w:anchor="ппа18_2" w:history="1">
        <w:r>
          <w:rPr>
            <w:color w:val="0000ff"/>
            <w:u w:val="single"/>
          </w:rPr>
          <w:t xml:space="preserve">а)</w:t>
        </w:r>
      </w:hyperlink>
      <w:r>
        <w:rPr>
          <w:color w:val="0000ff"/>
          <w:u w:val="single"/>
        </w:rPr>
        <w:t xml:space="preserve">»–«</w:t>
      </w:r>
      <w:hyperlink w:tooltip="#ппг18_2" w:anchor="ппг18_2" w:history="1">
        <w:r>
          <w:rPr>
            <w:color w:val="0000ff"/>
            <w:u w:val="single"/>
          </w:rPr>
          <w:t xml:space="preserve">г)</w:t>
        </w:r>
      </w:hyperlink>
      <w:r>
        <w:rPr>
          <w:color w:val="0000ff"/>
          <w:u w:val="single"/>
        </w:rPr>
        <w:t xml:space="preserve">» пункта 18.2</w:t>
      </w:r>
      <w:r>
        <w:t xml:space="preserve"> Положения.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/>
      <w:bookmarkStart w:id="86" w:name="_Ref149654304"/>
      <w:r>
        <w:t xml:space="preserve">Непредвиденные расходы в случае необходимости оформляются отдельным дополнительным соглашением в размере не более 3% от суммарных затрат по </w:t>
      </w:r>
      <w:r>
        <w:rPr>
          <w:color w:val="0000ff"/>
          <w:u w:val="single"/>
        </w:rPr>
        <w:t xml:space="preserve">подпунктам «</w:t>
      </w:r>
      <w:hyperlink w:tooltip="#ппа18_2" w:anchor="ппа18_2" w:history="1">
        <w:r>
          <w:rPr>
            <w:color w:val="0000ff"/>
            <w:u w:val="single"/>
          </w:rPr>
          <w:t xml:space="preserve">а)</w:t>
        </w:r>
      </w:hyperlink>
      <w:r>
        <w:rPr>
          <w:color w:val="0000ff"/>
          <w:u w:val="single"/>
        </w:rPr>
        <w:t xml:space="preserve">»–«</w:t>
      </w:r>
      <w:hyperlink w:tooltip="#ппв18_2" w:anchor="ппв18_2" w:history="1">
        <w:r>
          <w:rPr>
            <w:color w:val="0000ff"/>
            <w:u w:val="single"/>
          </w:rPr>
          <w:t xml:space="preserve">в)</w:t>
        </w:r>
      </w:hyperlink>
      <w:r>
        <w:rPr>
          <w:color w:val="0000ff"/>
          <w:u w:val="single"/>
        </w:rPr>
        <w:t xml:space="preserve">» пункта </w:t>
      </w:r>
      <w:r>
        <w:rPr>
          <w:color w:val="0000ff"/>
          <w:u w:val="single"/>
        </w:rPr>
        <w:fldChar w:fldCharType="begin"/>
      </w:r>
      <w:r>
        <w:rPr>
          <w:color w:val="0000ff"/>
          <w:u w:val="single"/>
        </w:rPr>
        <w:instrText xml:space="preserve"> REF _Ref149654136 \n \h  \* MERGEFORMAT </w:instrText>
      </w:r>
      <w:r>
        <w:rPr>
          <w:color w:val="0000ff"/>
          <w:u w:val="single"/>
        </w:rPr>
        <w:fldChar w:fldCharType="separate"/>
      </w:r>
      <w:r>
        <w:rPr>
          <w:color w:val="0000ff"/>
          <w:u w:val="single"/>
        </w:rPr>
        <w:t xml:space="preserve">18.2</w:t>
      </w:r>
      <w:r>
        <w:rPr>
          <w:color w:val="0000ff"/>
          <w:u w:val="single"/>
        </w:rPr>
        <w:fldChar w:fldCharType="end"/>
      </w:r>
      <w:r>
        <w:t xml:space="preserve"> Положения и могут включаться в следующих случаях:</w:t>
      </w:r>
      <w:bookmarkEnd w:id="86"/>
      <w:r/>
      <w:r/>
    </w:p>
    <w:p>
      <w:pPr>
        <w:pStyle w:val="1410"/>
        <w:numPr>
          <w:ilvl w:val="0"/>
          <w:numId w:val="30"/>
        </w:numPr>
        <w:contextualSpacing w:val="0"/>
        <w:ind w:left="0" w:firstLine="567"/>
        <w:widowControl w:val="off"/>
        <w:tabs>
          <w:tab w:val="left" w:pos="850" w:leader="none"/>
        </w:tabs>
      </w:pPr>
      <w:r>
        <w:t xml:space="preserve">увеличение расходов при изменени</w:t>
      </w:r>
      <w:r>
        <w:t xml:space="preserve">и проектных решений в рабочей документации, например, по результатам проведения предпроектного обследования произошло увеличение количества точек учета на объектах выполнения работ или изменение соотношения вводов к потребителям с однофазных на трехфазные;</w:t>
      </w:r>
      <w:r/>
    </w:p>
    <w:p>
      <w:pPr>
        <w:pStyle w:val="1410"/>
        <w:numPr>
          <w:ilvl w:val="0"/>
          <w:numId w:val="30"/>
        </w:numPr>
        <w:contextualSpacing w:val="0"/>
        <w:ind w:left="0" w:firstLine="567"/>
        <w:widowControl w:val="off"/>
        <w:tabs>
          <w:tab w:val="left" w:pos="850" w:leader="none"/>
        </w:tabs>
      </w:pPr>
      <w:r>
        <w:t xml:space="preserve">выполнение персоналом подрядной организации работ по допуску в эксплуатацию приборов учета с оформлением соответствующих актов или дополнительных работ по замене оборудования учета электроэнергии в негарантийных случаях;</w:t>
      </w:r>
      <w:r/>
    </w:p>
    <w:p>
      <w:pPr>
        <w:pStyle w:val="1410"/>
        <w:numPr>
          <w:ilvl w:val="0"/>
          <w:numId w:val="30"/>
        </w:numPr>
        <w:contextualSpacing w:val="0"/>
        <w:ind w:left="0" w:firstLine="567"/>
        <w:widowControl w:val="off"/>
        <w:tabs>
          <w:tab w:val="left" w:pos="850" w:leader="none"/>
        </w:tabs>
      </w:pPr>
      <w:r>
        <w:t xml:space="preserve">затраты на осуществление работ вахтовым методом, командирование рабочих, перебазирование строительно-монтажных подразделений;</w:t>
      </w:r>
      <w:r/>
    </w:p>
    <w:p>
      <w:pPr>
        <w:pStyle w:val="1410"/>
        <w:numPr>
          <w:ilvl w:val="0"/>
          <w:numId w:val="30"/>
        </w:numPr>
        <w:contextualSpacing w:val="0"/>
        <w:ind w:left="0" w:firstLine="567"/>
        <w:widowControl w:val="off"/>
        <w:tabs>
          <w:tab w:val="left" w:pos="850" w:leader="none"/>
        </w:tabs>
      </w:pPr>
      <w:r>
        <w:t xml:space="preserve">удорожание работ в зимнее время.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/>
      <w:bookmarkStart w:id="87" w:name="П18_4"/>
      <w:r/>
      <w:bookmarkEnd w:id="87"/>
      <w:r>
        <w:t xml:space="preserve">Суммарные затраты по </w:t>
      </w:r>
      <w:hyperlink w:tooltip="#п18_1" w:anchor="п18_1" w:history="1">
        <w:r>
          <w:rPr>
            <w:color w:val="0000ff"/>
            <w:u w:val="single"/>
          </w:rPr>
          <w:t xml:space="preserve">пункту 18.1</w:t>
        </w:r>
      </w:hyperlink>
      <w:r>
        <w:t xml:space="preserve"> и </w:t>
      </w:r>
      <w:r>
        <w:rPr>
          <w:color w:val="0000ff"/>
          <w:u w:val="single"/>
        </w:rPr>
        <w:t xml:space="preserve">подпунктам «</w:t>
      </w:r>
      <w:hyperlink w:tooltip="#ппа18_2" w:anchor="ппа18_2" w:history="1">
        <w:r>
          <w:rPr>
            <w:color w:val="0000ff"/>
            <w:u w:val="single"/>
          </w:rPr>
          <w:t xml:space="preserve">а)</w:t>
        </w:r>
      </w:hyperlink>
      <w:r>
        <w:rPr>
          <w:color w:val="0000ff"/>
          <w:u w:val="single"/>
        </w:rPr>
        <w:t xml:space="preserve">»–«</w:t>
      </w:r>
      <w:hyperlink w:tooltip="#ппг18_2" w:anchor="ппг18_2" w:history="1">
        <w:r>
          <w:rPr>
            <w:color w:val="0000ff"/>
            <w:u w:val="single"/>
          </w:rPr>
          <w:t xml:space="preserve">г)</w:t>
        </w:r>
      </w:hyperlink>
      <w:r>
        <w:rPr>
          <w:color w:val="0000ff"/>
          <w:u w:val="single"/>
        </w:rPr>
        <w:t xml:space="preserve">» пункта 18.2</w:t>
      </w:r>
      <w:r>
        <w:t xml:space="preserve"> Положения должны быть не выше укрупненных нормативов, утвержденных приказом Минэнерго России от 26.02.2024 № 131.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Для перевода НМЦ из базисных в текущие цены используются прогнозные индексы-дефляторы по капитальным вложениям, определяемые Министерством экономического развития Российской Федерации по строке «Инвестиции в основной капитал (капитальные вложения)»</w:t>
      </w:r>
      <w:r>
        <w:rPr>
          <w:vertAlign w:val="superscript"/>
        </w:rPr>
        <w:footnoteReference w:id="8"/>
      </w:r>
      <w:r>
        <w:t xml:space="preserve">, действующие на момент формирования стоимости инвестиционного объекта на период окончания строительства и актуальные на прогнозный период реализации инвестиционного проекта, с учетом доли сметной стоимости (объемов</w:t>
      </w:r>
      <w:r>
        <w:t xml:space="preserve">) работ, подлежащих выполнению соответственно в 1-й, 2-й, 3-й, i-й годы строительства/реконструкции/технического перевооружения объекта. Пересчет НМЦ после публикации извещения в связи с выходом более актуальной редакции индексов-дефляторов не допускается.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Проценты за использование заемных средств по </w:t>
      </w:r>
      <w:hyperlink w:tooltip="#ппд18_2" w:anchor="ппд18_2" w:history="1">
        <w:r>
          <w:rPr>
            <w:color w:val="0000ff"/>
            <w:u w:val="single"/>
          </w:rPr>
          <w:t xml:space="preserve">подпункту «д)» пункта 18.2</w:t>
        </w:r>
      </w:hyperlink>
      <w:r>
        <w:t xml:space="preserve"> Положения определяются из расчета займа на период фазы строительства и фазы расчетов по договору, но не более пяти лет, и процентной ставкой не выше ставок кредитования для дочерних обществ ПАО «Россети».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Дисконтированный срок окупаемости договора не должен превышать 7 лет. Ставка дисконтирования для расчета дисконтированного срока окупаемости не может быть ниже уровня средневзвешенной стоимости капитала (WACC).</w:t>
      </w:r>
      <w:r/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5"/>
        <w:numPr>
          <w:ilvl w:val="0"/>
          <w:numId w:val="45"/>
        </w:numPr>
        <w:tabs>
          <w:tab w:val="clear" w:pos="850" w:leader="none"/>
        </w:tabs>
      </w:pPr>
      <w:r/>
      <w:bookmarkStart w:id="88" w:name="_Toc19"/>
      <w:r>
        <w:t xml:space="preserve">Ответственность</w:t>
      </w:r>
      <w:bookmarkEnd w:id="88"/>
      <w:r/>
      <w:r/>
    </w:p>
    <w:p>
      <w:pPr>
        <w:ind w:firstLine="567"/>
        <w:jc w:val="both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Инициатор закупки несет ответственность за достоверность и полноту предоставляемых материалов и информации, корректность расчетов при формировании комплекта обосновывающих материалов к расчету НМЦ.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</w:pPr>
      <w:r>
        <w:t xml:space="preserve">Лица, согласующие любые материалы в отношении расчета НМЦ договора, несут ответственность за содержание и достоверность информации в материалах к расчету НМЦ договора в зоне своих компетенций по направлению деятельности.</w:t>
      </w:r>
      <w:r/>
    </w:p>
    <w:p>
      <w:pPr>
        <w:pStyle w:val="1410"/>
        <w:numPr>
          <w:ilvl w:val="1"/>
          <w:numId w:val="45"/>
        </w:numPr>
        <w:contextualSpacing w:val="0"/>
        <w:tabs>
          <w:tab w:val="left" w:pos="1134" w:leader="none"/>
        </w:tabs>
        <w:rPr>
          <w:sz w:val="28"/>
          <w:szCs w:val="28"/>
        </w:rPr>
      </w:pPr>
      <w:r>
        <w:t xml:space="preserve">Подписывающие и утверждающие любые документы должностные лица несут ответственность за содержание и достоверность предоставляемых материалов и информации в документе.</w:t>
      </w: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366"/>
        <w:rPr>
          <w:sz w:val="28"/>
          <w:szCs w:val="28"/>
        </w:rPr>
      </w:pPr>
      <w:r/>
      <w:bookmarkStart w:id="89" w:name="_Toc20"/>
      <w:r>
        <w:t xml:space="preserve">Приложение 1</w:t>
      </w:r>
      <w:bookmarkEnd w:id="89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366"/>
      </w:pPr>
      <w:r/>
      <w:bookmarkStart w:id="90" w:name="_Toc21"/>
      <w:r>
        <w:rPr>
          <w:rStyle w:val="1384"/>
          <w:b/>
        </w:rPr>
        <w:t xml:space="preserve">Форма обоснования начальной (максимальной) цены договора</w:t>
      </w:r>
      <w:bookmarkEnd w:id="90"/>
      <w:r/>
      <w:r/>
    </w:p>
    <w:p>
      <w:pPr>
        <w:jc w:val="center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6237"/>
        <w:gridCol w:w="1276"/>
        <w:gridCol w:w="236"/>
        <w:gridCol w:w="2457"/>
      </w:tblGrid>
      <w:tr>
        <w:tblPrEx/>
        <w:trPr/>
        <w:tc>
          <w:tcPr>
            <w:tcW w:w="6237" w:type="dxa"/>
            <w:textDirection w:val="lrTb"/>
            <w:noWrap w:val="false"/>
          </w:tcPr>
          <w:p>
            <w:pPr>
              <w:ind w:firstLine="567"/>
              <w:jc w:val="right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tcW w:w="3969" w:type="dxa"/>
            <w:textDirection w:val="lrTb"/>
            <w:noWrap w:val="false"/>
          </w:tcPr>
          <w:p>
            <w:pPr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УТВЕРЖДАЮ: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Должность уполномоченного лица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432"/>
        </w:trPr>
        <w:tc>
          <w:tcPr>
            <w:tcW w:w="6237" w:type="dxa"/>
            <w:textDirection w:val="lrTb"/>
            <w:noWrap w:val="false"/>
          </w:tcPr>
          <w:p>
            <w:pPr>
              <w:ind w:firstLine="567"/>
              <w:jc w:val="right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36" w:type="dxa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2457" w:type="dxa"/>
            <w:textDirection w:val="lrTb"/>
            <w:noWrap w:val="false"/>
          </w:tcPr>
          <w:p>
            <w:pPr>
              <w:ind w:firstLine="567"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237" w:type="dxa"/>
            <w:textDirection w:val="lrTb"/>
            <w:noWrap w:val="false"/>
          </w:tcPr>
          <w:p>
            <w:pPr>
              <w:ind w:firstLine="567"/>
              <w:jc w:val="right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</w:pPr>
            <w:r>
              <w:rPr>
                <w:lang w:eastAsia="en-US"/>
              </w:rPr>
              <w:t xml:space="preserve">(подпись)</w:t>
            </w:r>
            <w:r/>
          </w:p>
        </w:tc>
        <w:tc>
          <w:tcPr>
            <w:tcW w:w="236" w:type="dxa"/>
            <w:textDirection w:val="lrTb"/>
            <w:noWrap w:val="false"/>
          </w:tcPr>
          <w:p>
            <w:pPr>
              <w:ind w:firstLine="567"/>
              <w:jc w:val="center"/>
              <w:widowControl/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2457" w:type="dxa"/>
            <w:textDirection w:val="lrTb"/>
            <w:noWrap w:val="false"/>
          </w:tcPr>
          <w:p>
            <w:pPr>
              <w:jc w:val="center"/>
              <w:widowControl/>
            </w:pPr>
            <w:r>
              <w:rPr>
                <w:lang w:eastAsia="en-US"/>
              </w:rPr>
              <w:t xml:space="preserve">(расшифровка)</w:t>
            </w:r>
            <w:r/>
          </w:p>
        </w:tc>
      </w:tr>
      <w:tr>
        <w:tblPrEx/>
        <w:trPr>
          <w:trHeight w:val="258"/>
        </w:trPr>
        <w:tc>
          <w:tcPr>
            <w:tcW w:w="6237" w:type="dxa"/>
            <w:textDirection w:val="lrTb"/>
            <w:noWrap w:val="false"/>
          </w:tcPr>
          <w:p>
            <w:pPr>
              <w:ind w:firstLine="567"/>
              <w:jc w:val="right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tcW w:w="3969" w:type="dxa"/>
            <w:vAlign w:val="bottom"/>
            <w:textDirection w:val="lrTb"/>
            <w:noWrap w:val="false"/>
          </w:tcPr>
          <w:p>
            <w:pPr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«___» ____________ 20___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widowControl/>
        <w:tabs>
          <w:tab w:val="left" w:pos="7965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jc w:val="center"/>
        <w:widowControl/>
        <w:tabs>
          <w:tab w:val="left" w:pos="7965" w:leader="none"/>
        </w:tabs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Обоснование начальной (максимальной) цены договора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jc w:val="center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/>
      </w:pPr>
      <w:r>
        <w:rPr>
          <w:lang w:eastAsia="en-US"/>
        </w:rPr>
        <w:t xml:space="preserve">(указывается предмет закупки)</w:t>
      </w:r>
      <w:r/>
    </w:p>
    <w:p>
      <w:pPr>
        <w:jc w:val="center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2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4819"/>
      </w:tblGrid>
      <w:tr>
        <w:tblPrEx/>
        <w:trPr>
          <w:trHeight w:val="20"/>
        </w:trPr>
        <w:tc>
          <w:tcPr>
            <w:shd w:val="clear" w:color="ffffff" w:fill="ffffff"/>
            <w:tcW w:w="5382" w:type="dxa"/>
            <w:vAlign w:val="center"/>
            <w:textDirection w:val="lrTb"/>
            <w:noWrap/>
          </w:tcPr>
          <w:p>
            <w:pPr>
              <w:jc w:val="both"/>
              <w:widowControl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договора </w:t>
            </w:r>
            <w:r>
              <w:rPr>
                <w:i/>
                <w:iCs/>
                <w:sz w:val="24"/>
                <w:szCs w:val="24"/>
              </w:rPr>
              <w:t xml:space="preserve">(максимальное значение цены договора)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 НДС: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4819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5382" w:type="dxa"/>
            <w:vAlign w:val="center"/>
            <w:textDirection w:val="lrTb"/>
            <w:noWrap/>
          </w:tcPr>
          <w:p>
            <w:pPr>
              <w:jc w:val="both"/>
              <w:widowControl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договора </w:t>
            </w:r>
            <w:r>
              <w:rPr>
                <w:i/>
                <w:iCs/>
                <w:sz w:val="24"/>
                <w:szCs w:val="24"/>
              </w:rPr>
              <w:t xml:space="preserve">(максимальное значение цены договора)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без НДС: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4819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5382" w:type="dxa"/>
            <w:vAlign w:val="center"/>
            <w:textDirection w:val="lrTb"/>
            <w:noWrap/>
          </w:tcPr>
          <w:p>
            <w:pPr>
              <w:jc w:val="both"/>
              <w:widowControl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Начальная (максимальная) цена единицы товара, работы, услуги с НДС/без НДС</w:t>
            </w:r>
            <w:r>
              <w:rPr>
                <w:rStyle w:val="1401"/>
                <w:i/>
                <w:iCs/>
                <w:sz w:val="24"/>
                <w:szCs w:val="24"/>
              </w:rPr>
              <w:footnoteReference w:id="9"/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jc w:val="both"/>
              <w:widowControl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Формула цены договора</w:t>
            </w:r>
            <w:r>
              <w:rPr>
                <w:rStyle w:val="1401"/>
                <w:i/>
                <w:iCs/>
                <w:sz w:val="24"/>
                <w:szCs w:val="24"/>
              </w:rPr>
              <w:footnoteReference w:id="10"/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4819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5382" w:type="dxa"/>
            <w:vAlign w:val="center"/>
            <w:textDirection w:val="lrTb"/>
            <w:noWrap/>
          </w:tcPr>
          <w:p>
            <w:pPr>
              <w:jc w:val="both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Используемый метод определения н</w:t>
            </w:r>
            <w:r>
              <w:rPr>
                <w:sz w:val="24"/>
                <w:szCs w:val="24"/>
              </w:rPr>
              <w:t xml:space="preserve">ачальной (максимальной) цены договора </w:t>
            </w:r>
            <w:r>
              <w:rPr>
                <w:i/>
                <w:iCs/>
                <w:sz w:val="24"/>
                <w:szCs w:val="24"/>
              </w:rPr>
              <w:t xml:space="preserve">(цены единицы товара, работы, услуги)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 обоснованием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4819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5382" w:type="dxa"/>
            <w:vAlign w:val="center"/>
            <w:textDirection w:val="lrTb"/>
            <w:noWrap/>
          </w:tcPr>
          <w:p>
            <w:pPr>
              <w:jc w:val="both"/>
              <w:widowControl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</w:t>
            </w:r>
            <w:r>
              <w:rPr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(цены единицы товара, работы, услуги)</w:t>
            </w:r>
            <w:r>
              <w:rPr>
                <w:i/>
                <w:iCs/>
                <w:color w:val="000000"/>
                <w:sz w:val="24"/>
                <w:szCs w:val="24"/>
              </w:rPr>
            </w:r>
            <w:r>
              <w:rPr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4819" w:type="dxa"/>
            <w:textDirection w:val="lrTb"/>
            <w:noWrap w:val="false"/>
          </w:tcPr>
          <w:p>
            <w:pPr>
              <w:jc w:val="both"/>
              <w:widowControl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Размещен по адресу 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</w:r>
            <w:hyperlink r:id="rId31" w:tooltip="http://www.pskovenergoagent.ru/procurement/procurement-management/index.php" w:history="1">
              <w:r>
                <w:rPr>
                  <w:rStyle w:val="1432"/>
                  <w:bCs/>
                  <w:sz w:val="24"/>
                  <w:szCs w:val="24"/>
                  <w:lang w:eastAsia="en-US"/>
                </w:rPr>
                <w:t xml:space="preserve">http://www.pskovenergoagent.ru/procurement/procurement-management/index.php</w:t>
              </w:r>
            </w:hyperlink>
            <w:r>
              <w:rPr>
                <w:bCs/>
                <w:color w:val="000000"/>
                <w:sz w:val="24"/>
                <w:szCs w:val="24"/>
                <w:lang w:eastAsia="en-US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5382" w:type="dxa"/>
            <w:vAlign w:val="center"/>
            <w:textDirection w:val="lrTb"/>
            <w:noWrap/>
          </w:tcPr>
          <w:p>
            <w:pPr>
              <w:jc w:val="both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Расчет начальной (максимальной) цены договора </w:t>
            </w:r>
            <w:r>
              <w:rPr>
                <w:i/>
                <w:iCs/>
                <w:sz w:val="24"/>
                <w:szCs w:val="24"/>
              </w:rPr>
              <w:t xml:space="preserve">(цены единицы товара, работы, услуги)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4819" w:type="dxa"/>
            <w:textDirection w:val="lrTb"/>
            <w:noWrap w:val="false"/>
          </w:tcPr>
          <w:p>
            <w:pPr>
              <w:jc w:val="both"/>
              <w:widowControl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1 к обоснованию НМЦ договора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</w:tbl>
    <w:p>
      <w:pPr>
        <w:ind w:firstLine="567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Расчет НМЦ договора выполнен в соответствии с документами, представленными в приложении к обоснованию НМЦ договора.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Расчет НМЦ договора согласован уполномоченными лицами посредством автоматизированной системы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7965" w:leader="none"/>
        </w:tabs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</w:r>
      <w:r>
        <w:rPr>
          <w:color w:val="000000"/>
          <w:sz w:val="24"/>
          <w:szCs w:val="24"/>
          <w:lang w:eastAsia="en-US"/>
        </w:rPr>
      </w:r>
      <w:r>
        <w:rPr>
          <w:color w:val="000000"/>
          <w:sz w:val="24"/>
          <w:szCs w:val="24"/>
          <w:lang w:eastAsia="en-US"/>
        </w:rPr>
      </w:r>
    </w:p>
    <w:p>
      <w:pPr>
        <w:jc w:val="both"/>
        <w:widowControl/>
        <w:tabs>
          <w:tab w:val="left" w:pos="7965" w:leader="none"/>
        </w:tabs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Приложения:1. Расчет НМЦ методом…</w:t>
      </w:r>
      <w:r>
        <w:rPr>
          <w:color w:val="000000"/>
          <w:sz w:val="24"/>
          <w:szCs w:val="24"/>
          <w:lang w:eastAsia="en-US"/>
        </w:rPr>
      </w:r>
      <w:r>
        <w:rPr>
          <w:color w:val="000000"/>
          <w:sz w:val="24"/>
          <w:szCs w:val="24"/>
          <w:lang w:eastAsia="en-US"/>
        </w:rPr>
      </w:r>
    </w:p>
    <w:p>
      <w:pPr>
        <w:contextualSpacing/>
        <w:ind w:left="1361"/>
        <w:jc w:val="both"/>
        <w:widowControl/>
        <w:tabs>
          <w:tab w:val="left" w:pos="851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2. Коммерческие предложения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left="1361"/>
        <w:jc w:val="both"/>
        <w:widowControl/>
        <w:tabs>
          <w:tab w:val="left" w:pos="851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3. Запрос коммерческого предложения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left="1361"/>
        <w:jc w:val="both"/>
        <w:widowControl/>
        <w:tabs>
          <w:tab w:val="left" w:pos="851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4. Пояснительная записка (при необходимости)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left="1361"/>
        <w:jc w:val="both"/>
        <w:widowControl/>
        <w:tabs>
          <w:tab w:val="left" w:pos="851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5. …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</w:r>
      <w:r>
        <w:rPr>
          <w:color w:val="000000"/>
          <w:sz w:val="24"/>
          <w:szCs w:val="24"/>
          <w:lang w:eastAsia="en-US"/>
        </w:rPr>
      </w:r>
      <w:r>
        <w:rPr>
          <w:color w:val="000000"/>
          <w:sz w:val="24"/>
          <w:szCs w:val="24"/>
          <w:lang w:eastAsia="en-US"/>
        </w:rPr>
      </w:r>
    </w:p>
    <w:p>
      <w:pPr>
        <w:jc w:val="both"/>
        <w:widowControl/>
        <w:tabs>
          <w:tab w:val="left" w:pos="7965" w:leader="none"/>
        </w:tabs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</w:r>
      <w:r>
        <w:rPr>
          <w:color w:val="000000"/>
          <w:sz w:val="24"/>
          <w:szCs w:val="24"/>
          <w:lang w:eastAsia="en-US"/>
        </w:rPr>
      </w:r>
      <w:r>
        <w:rPr>
          <w:color w:val="000000"/>
          <w:sz w:val="24"/>
          <w:szCs w:val="24"/>
          <w:lang w:eastAsia="en-US"/>
        </w:rPr>
      </w:r>
    </w:p>
    <w:p>
      <w:pPr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Исполнитель расчета: ФИО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Дата расчета: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pageBreakBefore/>
        <w:widowControl/>
        <w:rPr>
          <w:sz w:val="28"/>
          <w:szCs w:val="28"/>
        </w:rPr>
        <w:sectPr>
          <w:headerReference w:type="default" r:id="rId11"/>
          <w:headerReference w:type="first" r:id="rId12"/>
          <w:footerReference w:type="default" r:id="rId17"/>
          <w:footerReference w:type="first" r:id="rId18"/>
          <w:footnotePr/>
          <w:endnotePr/>
          <w:type w:val="nextPage"/>
          <w:pgSz w:w="11905" w:h="16838" w:orient="portrait"/>
          <w:pgMar w:top="1134" w:right="567" w:bottom="1134" w:left="1134" w:header="397" w:footer="397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12900"/>
        <w:pageBreakBefore/>
        <w:widowControl/>
        <w:rPr>
          <w:sz w:val="24"/>
          <w:szCs w:val="24"/>
        </w:rPr>
      </w:pPr>
      <w:r/>
      <w:bookmarkStart w:id="91" w:name="Приложение1_1"/>
      <w:r>
        <w:rPr>
          <w:sz w:val="24"/>
          <w:szCs w:val="24"/>
          <w:lang w:eastAsia="en-US"/>
        </w:rPr>
        <w:t xml:space="preserve">Приложение 1.1</w:t>
      </w:r>
      <w:bookmarkEnd w:id="91"/>
      <w:r>
        <w:rPr>
          <w:sz w:val="24"/>
          <w:szCs w:val="24"/>
          <w:lang w:eastAsia="en-US"/>
        </w:rPr>
        <w:br/>
        <w:t xml:space="preserve">к Обоснованию НМЦ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РАСЧЕТ НМЦ МЕТОДОМ АНАЛИЗА РЫНКА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i/>
          <w:sz w:val="24"/>
          <w:szCs w:val="24"/>
          <w:lang w:eastAsia="en-US"/>
        </w:rPr>
        <w:t xml:space="preserve">(Размещено на вкладке «Контент» в СЭДО)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br w:type="page" w:clear="all"/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left="12900"/>
        <w:widowControl/>
        <w:rPr>
          <w:sz w:val="24"/>
          <w:szCs w:val="24"/>
        </w:rPr>
      </w:pPr>
      <w:r/>
      <w:bookmarkStart w:id="92" w:name="Приложение1_2"/>
      <w:r>
        <w:rPr>
          <w:sz w:val="24"/>
          <w:szCs w:val="24"/>
          <w:lang w:eastAsia="en-US"/>
        </w:rPr>
        <w:t xml:space="preserve">Приложение 1.2</w:t>
      </w:r>
      <w:bookmarkEnd w:id="92"/>
      <w:r>
        <w:rPr>
          <w:sz w:val="24"/>
          <w:szCs w:val="24"/>
          <w:lang w:eastAsia="en-US"/>
        </w:rPr>
        <w:br/>
        <w:t xml:space="preserve">к Обоснованию НМЦ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center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РАСЧЕТ НМЦ НОРМАТИВНЫМ МЕТОДОМ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40"/>
        <w:gridCol w:w="3571"/>
        <w:gridCol w:w="993"/>
        <w:gridCol w:w="1094"/>
        <w:gridCol w:w="1752"/>
        <w:gridCol w:w="1872"/>
        <w:gridCol w:w="1904"/>
        <w:gridCol w:w="1716"/>
        <w:gridCol w:w="1548"/>
      </w:tblGrid>
      <w:tr>
        <w:tblPrEx/>
        <w:trPr/>
        <w:tc>
          <w:tcPr>
            <w:tcW w:w="540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71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Наименование каждой единицы товара, работы, услуги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(марка, технические характеристики)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Ед.изм.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9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Кол-во в ед.изм.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Ставка НДС,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2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Величина норматива за ед.изм.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Источник информации о цене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1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Общая стоимость, руб. без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48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Общая стоимость,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color w:val="4f81bd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1</w:t>
            </w:r>
            <w:r>
              <w:rPr>
                <w:b/>
                <w:color w:val="4f81bd"/>
                <w:sz w:val="24"/>
                <w:szCs w:val="24"/>
              </w:rPr>
            </w:r>
            <w:r>
              <w:rPr>
                <w:b/>
                <w:color w:val="4f81bd"/>
                <w:sz w:val="24"/>
                <w:szCs w:val="24"/>
              </w:rPr>
            </w:r>
          </w:p>
        </w:tc>
        <w:tc>
          <w:tcPr>
            <w:tcW w:w="3571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color w:val="4f81bd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</w:t>
            </w:r>
            <w:r>
              <w:rPr>
                <w:b/>
                <w:color w:val="4f81bd"/>
                <w:sz w:val="24"/>
                <w:szCs w:val="24"/>
              </w:rPr>
            </w:r>
            <w:r>
              <w:rPr>
                <w:b/>
                <w:color w:val="4f81bd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color w:val="4f81bd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3</w:t>
            </w:r>
            <w:r>
              <w:rPr>
                <w:b/>
                <w:color w:val="4f81bd"/>
                <w:sz w:val="24"/>
                <w:szCs w:val="24"/>
              </w:rPr>
            </w:r>
            <w:r>
              <w:rPr>
                <w:b/>
                <w:color w:val="4f81bd"/>
                <w:sz w:val="24"/>
                <w:szCs w:val="24"/>
              </w:rPr>
            </w:r>
          </w:p>
        </w:tc>
        <w:tc>
          <w:tcPr>
            <w:tcW w:w="1094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color w:val="4f81bd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4</w:t>
            </w:r>
            <w:r>
              <w:rPr>
                <w:b/>
                <w:color w:val="4f81bd"/>
                <w:sz w:val="24"/>
                <w:szCs w:val="24"/>
              </w:rPr>
            </w:r>
            <w:r>
              <w:rPr>
                <w:b/>
                <w:color w:val="4f81bd"/>
                <w:sz w:val="24"/>
                <w:szCs w:val="24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color w:val="4f81bd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5</w:t>
            </w:r>
            <w:r>
              <w:rPr>
                <w:b/>
                <w:color w:val="4f81bd"/>
                <w:sz w:val="24"/>
                <w:szCs w:val="24"/>
              </w:rPr>
            </w:r>
            <w:r>
              <w:rPr>
                <w:b/>
                <w:color w:val="4f81bd"/>
                <w:sz w:val="24"/>
                <w:szCs w:val="24"/>
              </w:rPr>
            </w:r>
          </w:p>
        </w:tc>
        <w:tc>
          <w:tcPr>
            <w:tcW w:w="1872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color w:val="4f81bd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6</w:t>
            </w:r>
            <w:r>
              <w:rPr>
                <w:b/>
                <w:color w:val="4f81bd"/>
                <w:sz w:val="24"/>
                <w:szCs w:val="24"/>
              </w:rPr>
            </w:r>
            <w:r>
              <w:rPr>
                <w:b/>
                <w:color w:val="4f81bd"/>
                <w:sz w:val="24"/>
                <w:szCs w:val="24"/>
              </w:rPr>
            </w:r>
          </w:p>
        </w:tc>
        <w:tc>
          <w:tcPr>
            <w:tcW w:w="1904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color w:val="4f81bd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7</w:t>
            </w:r>
            <w:r>
              <w:rPr>
                <w:b/>
                <w:color w:val="4f81bd"/>
                <w:sz w:val="24"/>
                <w:szCs w:val="24"/>
              </w:rPr>
            </w:r>
            <w:r>
              <w:rPr>
                <w:b/>
                <w:color w:val="4f81bd"/>
                <w:sz w:val="24"/>
                <w:szCs w:val="24"/>
              </w:rPr>
            </w:r>
          </w:p>
        </w:tc>
        <w:tc>
          <w:tcPr>
            <w:tcW w:w="1716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color w:val="4f81bd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8</w:t>
            </w:r>
            <w:r>
              <w:rPr>
                <w:b/>
                <w:color w:val="4f81bd"/>
                <w:sz w:val="24"/>
                <w:szCs w:val="24"/>
              </w:rPr>
            </w:r>
            <w:r>
              <w:rPr>
                <w:b/>
                <w:color w:val="4f81bd"/>
                <w:sz w:val="24"/>
                <w:szCs w:val="24"/>
              </w:rPr>
            </w:r>
          </w:p>
        </w:tc>
        <w:tc>
          <w:tcPr>
            <w:tcW w:w="1548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71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9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2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1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48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71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9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2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1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48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71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9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2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1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48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71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9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2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1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48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571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ИТОГО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094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72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0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1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548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contextualSpacing/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Особенности рынка и (или) закупочной ситуации, влияющие на величину НМЦ </w:t>
      </w:r>
      <w:r>
        <w:rPr>
          <w:sz w:val="24"/>
          <w:szCs w:val="24"/>
          <w:vertAlign w:val="superscript"/>
          <w:lang w:eastAsia="en-US"/>
        </w:rPr>
        <w:footnoteReference w:id="11"/>
      </w:r>
      <w:r>
        <w:rPr>
          <w:color w:val="000000"/>
          <w:sz w:val="24"/>
          <w:szCs w:val="24"/>
          <w:lang w:eastAsia="en-US"/>
        </w:rPr>
        <w:t xml:space="preserve">: 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142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Расчет НМЦ проведен в соответствии с Положением о начальной (максимальной) цене договора при проведении закупочных процедур.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142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Рассчитанная НМЦ соответствует рыночным показателям.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tbl>
      <w:tblPr>
        <w:tblW w:w="14280" w:type="dxa"/>
        <w:tblLook w:val="04A0" w:firstRow="1" w:lastRow="0" w:firstColumn="1" w:lastColumn="0" w:noHBand="0" w:noVBand="1"/>
      </w:tblPr>
      <w:tblGrid>
        <w:gridCol w:w="7938"/>
        <w:gridCol w:w="2410"/>
        <w:gridCol w:w="567"/>
        <w:gridCol w:w="3365"/>
      </w:tblGrid>
      <w:tr>
        <w:tblPrEx/>
        <w:trPr/>
        <w:tc>
          <w:tcPr>
            <w:tcW w:w="7938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Исполнитель расчета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365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__________________________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7938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365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(ФИО)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7938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Дата расчета: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365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left="12900"/>
        <w:pageBreakBefore/>
        <w:widowControl/>
        <w:rPr>
          <w:sz w:val="24"/>
          <w:szCs w:val="24"/>
        </w:rPr>
      </w:pPr>
      <w:r/>
      <w:bookmarkStart w:id="93" w:name="Приложение1_3"/>
      <w:r>
        <w:rPr>
          <w:sz w:val="24"/>
          <w:szCs w:val="24"/>
          <w:lang w:eastAsia="en-US"/>
        </w:rPr>
        <w:t xml:space="preserve">Приложение 1.3</w:t>
      </w:r>
      <w:bookmarkEnd w:id="93"/>
      <w:r>
        <w:rPr>
          <w:b/>
          <w:sz w:val="24"/>
          <w:szCs w:val="24"/>
          <w:lang w:eastAsia="en-US"/>
        </w:rPr>
        <w:br/>
      </w:r>
      <w:r>
        <w:rPr>
          <w:sz w:val="24"/>
          <w:szCs w:val="24"/>
          <w:lang w:eastAsia="en-US"/>
        </w:rPr>
        <w:t xml:space="preserve">к Обоснованию НМЦ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center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РАСЧЕТ НМЦ ТАРИФНЫМ МЕТОДОМ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40"/>
        <w:gridCol w:w="3026"/>
        <w:gridCol w:w="1134"/>
        <w:gridCol w:w="1184"/>
        <w:gridCol w:w="1661"/>
        <w:gridCol w:w="1773"/>
        <w:gridCol w:w="2115"/>
        <w:gridCol w:w="1817"/>
        <w:gridCol w:w="1620"/>
      </w:tblGrid>
      <w:tr>
        <w:tblPrEx/>
        <w:trPr/>
        <w:tc>
          <w:tcPr>
            <w:tcW w:w="376" w:type="dxa"/>
            <w:textDirection w:val="lrTb"/>
            <w:noWrap w:val="false"/>
          </w:tcPr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26" w:type="dxa"/>
            <w:textDirection w:val="lrTb"/>
            <w:noWrap w:val="false"/>
          </w:tcPr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Наименование каждой единицы товара, работы, услуги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(марка, технические характеристики)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Ед. 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84" w:type="dxa"/>
            <w:textDirection w:val="lrTb"/>
            <w:noWrap w:val="false"/>
          </w:tcPr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Кол-во в ед. 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Ставка НДС,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73" w:type="dxa"/>
            <w:textDirection w:val="lrTb"/>
            <w:noWrap w:val="false"/>
          </w:tcPr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Величина тарифа </w:t>
            </w:r>
            <w:r>
              <w:rPr>
                <w:sz w:val="24"/>
                <w:szCs w:val="24"/>
                <w:lang w:eastAsia="en-US"/>
              </w:rPr>
              <w:br/>
              <w:t xml:space="preserve">за ед. 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Ссылка на НПА, устанавливающий величину тарифа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Общая стоимость, руб. без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contextualSpacing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Общая стоимость,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6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26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84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73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2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8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73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2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8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73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2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8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73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2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8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73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02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ИТОГО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184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73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х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142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Особенности рынка и (или) закупочной ситуации, влияющие на величину НМЦ </w:t>
      </w:r>
      <w:r>
        <w:rPr>
          <w:sz w:val="24"/>
          <w:szCs w:val="24"/>
          <w:vertAlign w:val="superscript"/>
          <w:lang w:eastAsia="en-US"/>
        </w:rPr>
        <w:footnoteReference w:id="12"/>
      </w:r>
      <w:r>
        <w:rPr>
          <w:color w:val="000000"/>
          <w:sz w:val="24"/>
          <w:szCs w:val="24"/>
          <w:lang w:eastAsia="en-US"/>
        </w:rPr>
        <w:t xml:space="preserve">: 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142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Расчет НМЦ проведен в соответствии с Положением о начальной (максимальной) цене договора при проведении закупочных процедур.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142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Рассчитанная НМЦ соответствует рыночным показателям.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tbl>
      <w:tblPr>
        <w:tblW w:w="14280" w:type="dxa"/>
        <w:tblLook w:val="04A0" w:firstRow="1" w:lastRow="0" w:firstColumn="1" w:lastColumn="0" w:noHBand="0" w:noVBand="1"/>
      </w:tblPr>
      <w:tblGrid>
        <w:gridCol w:w="7938"/>
        <w:gridCol w:w="2410"/>
        <w:gridCol w:w="567"/>
        <w:gridCol w:w="3365"/>
      </w:tblGrid>
      <w:tr>
        <w:tblPrEx/>
        <w:trPr/>
        <w:tc>
          <w:tcPr>
            <w:tcW w:w="7938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Исполнитель расчета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365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__________________________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7938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365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(ФИО)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7938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Дата расчета: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365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ind w:firstLine="567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left="12900"/>
        <w:pageBreakBefore/>
        <w:widowControl/>
        <w:rPr>
          <w:sz w:val="24"/>
          <w:szCs w:val="24"/>
        </w:rPr>
      </w:pPr>
      <w:r/>
      <w:bookmarkStart w:id="94" w:name="Приложение1_4"/>
      <w:r>
        <w:rPr>
          <w:sz w:val="24"/>
          <w:szCs w:val="24"/>
          <w:lang w:eastAsia="en-US"/>
        </w:rPr>
        <w:t xml:space="preserve">Приложение 1.4</w:t>
      </w:r>
      <w:bookmarkEnd w:id="94"/>
      <w:r>
        <w:rPr>
          <w:sz w:val="24"/>
          <w:szCs w:val="24"/>
          <w:lang w:eastAsia="en-US"/>
        </w:rPr>
        <w:br/>
        <w:t xml:space="preserve">к Обоснованию НМЦ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РАСЧЕТ НМЦ ЗАТРАТНЫМ МЕТОДОМ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5082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750"/>
        <w:gridCol w:w="1842"/>
        <w:gridCol w:w="1276"/>
        <w:gridCol w:w="1276"/>
        <w:gridCol w:w="1559"/>
        <w:gridCol w:w="1418"/>
        <w:gridCol w:w="1417"/>
        <w:gridCol w:w="1559"/>
        <w:gridCol w:w="1276"/>
      </w:tblGrid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Сведения о каждой единицы товара, работы, услуги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(марка, технические характеристики)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tcW w:w="10347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Статьи затрат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Норма прибыли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ФОТ</w:t>
            </w:r>
            <w:r>
              <w:rPr>
                <w:sz w:val="24"/>
                <w:szCs w:val="24"/>
                <w:vertAlign w:val="superscript"/>
                <w:lang w:eastAsia="en-US"/>
              </w:rPr>
              <w:footnoteReference w:id="13"/>
            </w:r>
            <w:r>
              <w:rPr>
                <w:sz w:val="24"/>
                <w:szCs w:val="24"/>
                <w:lang w:eastAsia="en-US"/>
              </w:rPr>
              <w:t xml:space="preserve">, включая налоговые отчисления,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Перевозка,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Хранение,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Страхование,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Накладные расходы,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Налоги и сборы,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Иные затраты, руб.</w:t>
            </w:r>
            <w:r>
              <w:rPr>
                <w:sz w:val="24"/>
                <w:szCs w:val="24"/>
                <w:vertAlign w:val="superscript"/>
                <w:lang w:eastAsia="en-US"/>
              </w:rPr>
              <w:footnoteReference w:id="14"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Итого за ед. 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W w:w="11623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(объем)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W w:w="11623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Итого стоимость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W w:w="11623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50" w:type="dxa"/>
            <w:vMerge w:val="restart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tcW w:w="10347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Статьи затрат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Норма прибыли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ФОТ, включая налоговые отчисления,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Перевозка,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Хранение,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Страхование,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Накладные расходы,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Налоги и сборы,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Иные затраты,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Итого за ед. 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W w:w="11623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(объем)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W w:w="11623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Итого стоимость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W w:w="11623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...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750" w:type="dxa"/>
            <w:vMerge w:val="restart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tcW w:w="10347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Статьи затрат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Норма прибыли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ФОТ, включая налоговые отчисления,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Перевозка,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Хранение,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Страхование,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Накладные расходы,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Налоги и сборы,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Иные затраты,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Итого за ед. 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(объем)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ind w:left="-57" w:right="-57"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Итого стоимость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50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Итого, НМЦ, руб.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8"/>
            <w:tcW w:w="11623" w:type="dxa"/>
            <w:textDirection w:val="lrTb"/>
            <w:noWrap w:val="false"/>
          </w:tcPr>
          <w:p>
            <w:pPr>
              <w:contextualSpacing/>
              <w:ind w:left="-57" w:right="-5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contextualSpacing/>
        <w:ind w:left="142"/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Особенности рынка и (или) закупочной ситуации, влияющие на величину НМЦ </w:t>
      </w:r>
      <w:r>
        <w:rPr>
          <w:sz w:val="24"/>
          <w:szCs w:val="24"/>
          <w:vertAlign w:val="superscript"/>
          <w:lang w:eastAsia="en-US"/>
        </w:rPr>
        <w:footnoteReference w:id="15"/>
      </w:r>
      <w:r>
        <w:rPr>
          <w:color w:val="000000"/>
          <w:sz w:val="24"/>
          <w:szCs w:val="24"/>
          <w:lang w:eastAsia="en-US"/>
        </w:rPr>
        <w:t xml:space="preserve">: 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142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Расчет НМЦ проведен в соответствии с Положением о начальной (максимальной) цене договора при проведении закупочных процедур.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142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Рассчитанная НМЦ соответствует рыночным показателям.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142"/>
        <w:jc w:val="both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4280" w:type="dxa"/>
        <w:tblLook w:val="04A0" w:firstRow="1" w:lastRow="0" w:firstColumn="1" w:lastColumn="0" w:noHBand="0" w:noVBand="1"/>
      </w:tblPr>
      <w:tblGrid>
        <w:gridCol w:w="7856"/>
        <w:gridCol w:w="2382"/>
        <w:gridCol w:w="563"/>
        <w:gridCol w:w="3479"/>
      </w:tblGrid>
      <w:tr>
        <w:tblPrEx/>
        <w:trPr/>
        <w:tc>
          <w:tcPr>
            <w:tcW w:w="7938" w:type="dxa"/>
            <w:textDirection w:val="lrTb"/>
            <w:noWrap w:val="false"/>
          </w:tcPr>
          <w:p>
            <w:pPr>
              <w:ind w:left="42"/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Исполнитель расчета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ind w:left="142"/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ind w:left="142"/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365" w:type="dxa"/>
            <w:textDirection w:val="lrTb"/>
            <w:noWrap w:val="false"/>
          </w:tcPr>
          <w:p>
            <w:pPr>
              <w:ind w:left="142"/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__________________________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7938" w:type="dxa"/>
            <w:textDirection w:val="lrTb"/>
            <w:noWrap w:val="false"/>
          </w:tcPr>
          <w:p>
            <w:pPr>
              <w:ind w:left="42"/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ind w:left="142"/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ind w:left="142"/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365" w:type="dxa"/>
            <w:textDirection w:val="lrTb"/>
            <w:noWrap w:val="false"/>
          </w:tcPr>
          <w:p>
            <w:pPr>
              <w:ind w:left="142"/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(ФИО)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7938" w:type="dxa"/>
            <w:textDirection w:val="lrTb"/>
            <w:noWrap w:val="false"/>
          </w:tcPr>
          <w:p>
            <w:pPr>
              <w:ind w:left="42"/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Дата расчета: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ind w:left="142"/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ind w:left="142"/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365" w:type="dxa"/>
            <w:textDirection w:val="lrTb"/>
            <w:noWrap w:val="false"/>
          </w:tcPr>
          <w:p>
            <w:pPr>
              <w:ind w:left="142"/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ind w:firstLine="567"/>
        <w:jc w:val="both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center"/>
        <w:widowControl/>
        <w:rPr>
          <w:b/>
          <w:sz w:val="28"/>
          <w:szCs w:val="28"/>
        </w:rPr>
        <w:sectPr>
          <w:headerReference w:type="default" r:id="rId13"/>
          <w:footerReference w:type="default" r:id="rId19"/>
          <w:footnotePr>
            <w:numRestart w:val="eachSect"/>
          </w:footnotePr>
          <w:endnotePr/>
          <w:type w:val="nextPage"/>
          <w:pgSz w:w="16838" w:h="11905" w:orient="landscape"/>
          <w:pgMar w:top="1134" w:right="567" w:bottom="1134" w:left="1134" w:header="397" w:footer="397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12333" w:firstLine="567"/>
        <w:widowControl/>
        <w:rPr>
          <w:sz w:val="24"/>
          <w:szCs w:val="24"/>
        </w:rPr>
      </w:pPr>
      <w:r/>
      <w:bookmarkStart w:id="95" w:name="Приложение1_5"/>
      <w:r>
        <w:rPr>
          <w:sz w:val="24"/>
          <w:szCs w:val="24"/>
          <w:lang w:eastAsia="en-US"/>
        </w:rPr>
        <w:t xml:space="preserve">Приложение 1.5</w:t>
      </w:r>
      <w:bookmarkEnd w:id="9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2333" w:firstLine="567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к Обоснованию НМЦ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РАСЧЕТ НМЦ МЕТОДОМ АНАЛИЗА РЫНКА ПРИ ЗАКУПКЕ КОНСУЛЬТАЦИОННЫХ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center"/>
        <w:widowControl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contextualSpacing/>
        <w:ind w:firstLine="567"/>
        <w:jc w:val="center"/>
        <w:spacing w:before="60" w:after="60"/>
        <w:widowControl/>
        <w:tabs>
          <w:tab w:val="right" w:pos="9360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Обоснование необходимости оказания консультационных услуг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contextualSpacing/>
        <w:ind w:firstLine="567"/>
        <w:jc w:val="center"/>
        <w:spacing w:before="60" w:after="60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969" w:type="pct"/>
        <w:tblInd w:w="132" w:type="dxa"/>
        <w:tblLayout w:type="fixed"/>
        <w:tblLook w:val="0000" w:firstRow="0" w:lastRow="0" w:firstColumn="0" w:lastColumn="0" w:noHBand="0" w:noVBand="0"/>
      </w:tblPr>
      <w:tblGrid>
        <w:gridCol w:w="268"/>
        <w:gridCol w:w="1229"/>
        <w:gridCol w:w="6087"/>
        <w:gridCol w:w="7439"/>
      </w:tblGrid>
      <w:tr>
        <w:tblPrEx/>
        <w:trPr>
          <w:trHeight w:val="255"/>
        </w:trPr>
        <w:tc>
          <w:tcPr>
            <w:gridSpan w:val="4"/>
            <w:shd w:val="clear" w:color="auto" w:fill="c0c0c0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single" w:color="000000" w:sz="8" w:space="0"/>
            </w:tcBorders>
            <w:tcW w:w="5000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Раздел 1. Обоснование необходимости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000000" w:sz="4" w:space="0"/>
            </w:tcBorders>
            <w:tcW w:w="89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435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Центр финансовой отчетности (ЦФО)-заявитель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476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000000" w:sz="4" w:space="0"/>
            </w:tcBorders>
            <w:tcW w:w="89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435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Предмет консалтинга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476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none" w:color="000000" w:sz="4" w:space="0"/>
            </w:tcBorders>
            <w:tcW w:w="89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435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Обоснование необходимости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476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none" w:color="000000" w:sz="4" w:space="0"/>
            </w:tcBorders>
            <w:tcW w:w="89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435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ЦФО-пользователь полученного результата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476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none" w:color="000000" w:sz="4" w:space="0"/>
            </w:tcBorders>
            <w:tcW w:w="89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435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Период, в течение которого результат оказанных услуг будет применяться в практической работе подразделения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476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none" w:color="000000" w:sz="4" w:space="0"/>
            </w:tcBorders>
            <w:tcW w:w="89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435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Влияние полученного результата оказанных услуг на надежность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476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none" w:color="000000" w:sz="4" w:space="0"/>
            </w:tcBorders>
            <w:tcW w:w="89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435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Экономический эффект от применения результатов оказанных услуг в электросетевом комплексе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476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none" w:color="000000" w:sz="4" w:space="0"/>
            </w:tcBorders>
            <w:tcW w:w="89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4911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Приоритетность в исполнении проекта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none" w:color="000000" w:sz="4" w:space="0"/>
            </w:tcBorders>
            <w:tcW w:w="89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9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26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Качество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476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none" w:color="000000" w:sz="4" w:space="0"/>
            </w:tcBorders>
            <w:tcW w:w="89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9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26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Стоимость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2476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none" w:color="000000" w:sz="4" w:space="0"/>
            </w:tcBorders>
            <w:tcW w:w="89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tcW w:w="409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2026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Сроки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2476" w:type="pct"/>
            <w:textDirection w:val="lrTb"/>
            <w:noWrap/>
          </w:tcPr>
          <w:p>
            <w:pPr>
              <w:contextualSpacing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contextualSpacing/>
        <w:ind w:firstLine="567"/>
        <w:jc w:val="both"/>
        <w:spacing w:before="60" w:after="60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966" w:type="pct"/>
        <w:tblInd w:w="137" w:type="dxa"/>
        <w:tblLayout w:type="fixed"/>
        <w:tblLook w:val="0000" w:firstRow="0" w:lastRow="0" w:firstColumn="0" w:lastColumn="0" w:noHBand="0" w:noVBand="0"/>
      </w:tblPr>
      <w:tblGrid>
        <w:gridCol w:w="274"/>
        <w:gridCol w:w="204"/>
        <w:gridCol w:w="5649"/>
        <w:gridCol w:w="1457"/>
        <w:gridCol w:w="1752"/>
        <w:gridCol w:w="5688"/>
      </w:tblGrid>
      <w:tr>
        <w:tblPrEx/>
        <w:trPr>
          <w:trHeight w:val="20"/>
        </w:trPr>
        <w:tc>
          <w:tcPr>
            <w:gridSpan w:val="6"/>
            <w:shd w:val="clear" w:color="auto" w:fill="c0c0c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Раздел 2. Анализ рынка при расчете начальной (максимальной) цены договора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91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909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Компетентные исполнители, готовые оказать услуги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69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159" w:type="pct"/>
            <w:vMerge w:val="restar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1" w:type="pct"/>
            <w:textDirection w:val="lrTb"/>
            <w:noWrap/>
          </w:tcPr>
          <w:p>
            <w:pPr>
              <w:contextualSpacing/>
              <w:ind w:firstLine="35"/>
              <w:jc w:val="both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Наименование исполнителя (предложение №1)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5" w:type="pct"/>
            <w:textDirection w:val="lrTb"/>
            <w:noWrap/>
          </w:tcPr>
          <w:p>
            <w:pPr>
              <w:contextualSpacing/>
              <w:ind w:firstLine="35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Трудозатраты по проекту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чел/час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5" w:type="pct"/>
            <w:textDirection w:val="lrTb"/>
            <w:noWrap/>
          </w:tcPr>
          <w:p>
            <w:pPr>
              <w:contextualSpacing/>
              <w:ind w:firstLine="35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Стоимость услуг, всего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в т.ч. прямые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35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накладные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35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накладные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35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%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рентабельность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35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рентабельность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35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%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365" w:type="pct"/>
            <w:textDirection w:val="lrTb"/>
            <w:noWrap/>
          </w:tcPr>
          <w:p>
            <w:pPr>
              <w:contextualSpacing/>
              <w:ind w:firstLine="35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Сумма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365" w:type="pct"/>
            <w:textDirection w:val="lrTb"/>
            <w:noWrap/>
          </w:tcPr>
          <w:p>
            <w:pPr>
              <w:contextualSpacing/>
              <w:ind w:firstLine="35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Стоимость услуг, всего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b/>
                <w:i/>
                <w:iCs/>
                <w:sz w:val="24"/>
                <w:szCs w:val="24"/>
              </w:rPr>
            </w:r>
            <w:r>
              <w:rPr>
                <w:b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322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2365" w:type="pct"/>
            <w:vMerge w:val="restart"/>
            <w:textDirection w:val="lrTb"/>
            <w:noWrap/>
          </w:tcPr>
          <w:p>
            <w:pPr>
              <w:contextualSpacing/>
              <w:ind w:firstLine="35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Срок исполнения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5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9" w:type="pct"/>
            <w:vMerge w:val="restar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Наименование исполнителя (предложение №2)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76" w:type="pct"/>
            <w:vAlign w:val="center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5" w:type="pct"/>
            <w:textDirection w:val="lrTb"/>
            <w:noWrap/>
          </w:tcPr>
          <w:p>
            <w:pPr>
              <w:contextualSpacing/>
              <w:ind w:firstLine="33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Трудозатраты по проекту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чел/час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33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Стоимость услуг, всего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в т.ч. прямые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накладные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накладные 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%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рентабельность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рентабельность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%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365" w:type="pct"/>
            <w:textDirection w:val="lrTb"/>
            <w:noWrap/>
          </w:tcPr>
          <w:p>
            <w:pPr>
              <w:contextualSpacing/>
              <w:ind w:firstLine="33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Сумма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365" w:type="pct"/>
            <w:textDirection w:val="lrTb"/>
            <w:noWrap/>
          </w:tcPr>
          <w:p>
            <w:pPr>
              <w:contextualSpacing/>
              <w:ind w:firstLine="33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Стоимость услуг, всего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b/>
                <w:i/>
                <w:iCs/>
                <w:sz w:val="24"/>
                <w:szCs w:val="24"/>
              </w:rPr>
            </w:r>
            <w:r>
              <w:rPr>
                <w:b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322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365" w:type="pct"/>
            <w:vMerge w:val="restart"/>
            <w:textDirection w:val="lrTb"/>
            <w:noWrap/>
          </w:tcPr>
          <w:p>
            <w:pPr>
              <w:contextualSpacing/>
              <w:ind w:firstLine="33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Срок исполнения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6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5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9" w:type="pct"/>
            <w:vMerge w:val="restar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1" w:type="pct"/>
            <w:vAlign w:val="center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Наименование исполнителя (предложение №3)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Трудозатраты по проекту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чел/час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Стоимость услуг, всего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в т.ч. прямые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накладные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накладные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%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рентабельность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459"/>
              <w:jc w:val="both"/>
              <w:widowControl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рентабельность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%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36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Сумма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36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Стоимость услуг, всего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  <w:lang w:eastAsia="en-US"/>
              </w:rPr>
              <w:t xml:space="preserve"> </w:t>
            </w:r>
            <w:r>
              <w:rPr>
                <w:b/>
                <w:i/>
                <w:iCs/>
                <w:sz w:val="24"/>
                <w:szCs w:val="24"/>
              </w:rPr>
            </w:r>
            <w:r>
              <w:rPr>
                <w:b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Срок исполнения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Borders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59" w:type="pct"/>
            <w:vMerge w:val="continue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8" w:space="0"/>
              <w:right w:val="none" w:color="000000" w:sz="4" w:space="0"/>
            </w:tcBorders>
            <w:tcW w:w="1880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485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583" w:type="pct"/>
            <w:vAlign w:val="center"/>
            <w:textDirection w:val="lrTb"/>
            <w:noWrap/>
          </w:tcPr>
          <w:p>
            <w:pPr>
              <w:contextualSpacing/>
              <w:ind w:firstLine="240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89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91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43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Предварительный отбор исполнителя (заполняется по закупкам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о которых может не размещаться на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официальном сайте)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76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83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91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433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Обоснование отбора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76" w:type="pct"/>
            <w:textDirection w:val="lrTb"/>
            <w:noWrap/>
          </w:tcPr>
          <w:p>
            <w:pPr>
              <w:contextualSpacing/>
              <w:ind w:firstLine="567"/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contextualSpacing/>
        <w:ind w:firstLine="567"/>
        <w:jc w:val="both"/>
        <w:spacing w:before="60" w:after="60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228" w:type="dxa"/>
        <w:tblLayout w:type="fixed"/>
        <w:tblLook w:val="01E0" w:firstRow="1" w:lastRow="1" w:firstColumn="1" w:lastColumn="1" w:noHBand="0" w:noVBand="0"/>
      </w:tblPr>
      <w:tblGrid>
        <w:gridCol w:w="3652"/>
        <w:gridCol w:w="2126"/>
        <w:gridCol w:w="426"/>
        <w:gridCol w:w="8788"/>
        <w:gridCol w:w="236"/>
      </w:tblGrid>
      <w:tr>
        <w:tblPrEx/>
        <w:trPr>
          <w:gridAfter w:val="1"/>
          <w:trHeight w:val="170"/>
        </w:trPr>
        <w:tc>
          <w:tcPr>
            <w:tcW w:w="3652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 xml:space="preserve">Руководитель подразделения-заявителя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8788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70"/>
        </w:trPr>
        <w:tc>
          <w:tcPr>
            <w:tcW w:w="3652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(подпись)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(расшифровка)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70"/>
        </w:trPr>
        <w:tc>
          <w:tcPr>
            <w:tcW w:w="3652" w:type="dxa"/>
            <w:textDirection w:val="lrTb"/>
            <w:noWrap w:val="false"/>
          </w:tcPr>
          <w:p>
            <w:pPr>
              <w:contextualSpacing/>
              <w:jc w:val="both"/>
              <w:spacing w:before="60" w:after="6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Руководитель подразделения-пользователя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8788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70"/>
        </w:trPr>
        <w:tc>
          <w:tcPr>
            <w:tcW w:w="3652" w:type="dxa"/>
            <w:textDirection w:val="lrTb"/>
            <w:noWrap w:val="false"/>
          </w:tcPr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(подпись)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(расшифровка)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70"/>
        </w:trPr>
        <w:tc>
          <w:tcPr>
            <w:gridSpan w:val="4"/>
            <w:shd w:val="clear" w:color="auto" w:fill="c0c0c0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single" w:color="000000" w:sz="8" w:space="0"/>
            </w:tcBorders>
            <w:tcW w:w="14917" w:type="dxa"/>
            <w:textDirection w:val="lrTb"/>
            <w:noWrap/>
          </w:tcPr>
          <w:p>
            <w:pPr>
              <w:contextualSpacing/>
              <w:jc w:val="both"/>
              <w:spacing w:before="60" w:after="6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Раздел 3. Заключение департамента экономики</w:t>
            </w:r>
            <w:r>
              <w:rPr>
                <w:sz w:val="24"/>
                <w:szCs w:val="24"/>
                <w:vertAlign w:val="superscript"/>
                <w:lang w:eastAsia="en-US"/>
              </w:rPr>
              <w:footnoteReference w:id="16"/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744"/>
        </w:trPr>
        <w:tc>
          <w:tcPr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W w:w="14917" w:type="dxa"/>
            <w:textDirection w:val="lrTb"/>
            <w:noWrap/>
          </w:tcPr>
          <w:p>
            <w:pPr>
              <w:contextualSpacing/>
              <w:ind w:right="-159"/>
              <w:jc w:val="both"/>
              <w:spacing w:before="60" w:after="6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 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14992" w:type="dxa"/>
            <w:textDirection w:val="lrTb"/>
            <w:noWrap w:val="false"/>
          </w:tcPr>
          <w:p>
            <w:p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14317" w:type="dxa"/>
              <w:tblLayout w:type="fixed"/>
              <w:tblLook w:val="04A0" w:firstRow="1" w:lastRow="0" w:firstColumn="1" w:lastColumn="0" w:noHBand="0" w:noVBand="1"/>
            </w:tblPr>
            <w:tblGrid>
              <w:gridCol w:w="7830"/>
              <w:gridCol w:w="2376"/>
              <w:gridCol w:w="567"/>
              <w:gridCol w:w="3544"/>
            </w:tblGrid>
            <w:tr>
              <w:tblPrEx/>
              <w:trPr>
                <w:trHeight w:val="170"/>
              </w:trPr>
              <w:tc>
                <w:tcPr>
                  <w:tcW w:w="7830" w:type="dxa"/>
                  <w:textDirection w:val="lrTb"/>
                  <w:noWrap w:val="false"/>
                </w:tcPr>
                <w:p>
                  <w:pPr>
                    <w:ind w:left="-58"/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Начальник департамента экономики</w:t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2376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W w:w="567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3544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70"/>
              </w:trPr>
              <w:tc>
                <w:tcPr>
                  <w:tcW w:w="7830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Cs/>
                      <w:iCs/>
                      <w:sz w:val="24"/>
                      <w:szCs w:val="24"/>
                    </w:rPr>
                  </w:r>
                  <w:r>
                    <w:rPr>
                      <w:bCs/>
                      <w:iCs/>
                      <w:sz w:val="24"/>
                      <w:szCs w:val="24"/>
                    </w:rPr>
                  </w:r>
                  <w:r>
                    <w:rPr>
                      <w:bCs/>
                      <w:iCs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</w:tcBorders>
                  <w:tcW w:w="2376" w:type="dxa"/>
                  <w:textDirection w:val="lrTb"/>
                  <w:noWrap w:val="false"/>
                </w:tcPr>
                <w:p>
                  <w:pPr>
                    <w:jc w:val="center"/>
                    <w:widowControl/>
                    <w:tabs>
                      <w:tab w:val="left" w:pos="1911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(подпись)</w:t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W w:w="567" w:type="dxa"/>
                  <w:textDirection w:val="lrTb"/>
                  <w:noWrap w:val="false"/>
                </w:tcPr>
                <w:p>
                  <w:pPr>
                    <w:jc w:val="center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</w:tcBorders>
                  <w:tcW w:w="3544" w:type="dxa"/>
                  <w:textDirection w:val="lrTb"/>
                  <w:noWrap w:val="false"/>
                </w:tcPr>
                <w:p>
                  <w:pPr>
                    <w:jc w:val="center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(расшифровка)</w:t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Особенности рынка и (или) закупочной ситуации, влияющие на величину НМЦ </w:t>
            </w:r>
            <w:r>
              <w:rPr>
                <w:sz w:val="24"/>
                <w:szCs w:val="24"/>
                <w:vertAlign w:val="superscript"/>
                <w:lang w:eastAsia="en-US"/>
              </w:rPr>
              <w:footnoteReference w:id="17"/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 _________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Расчет НМЦ проведен в соответствии с Положением о начальной (максимальной) цене договора при проведении закупочных процедур.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widowControl/>
              <w:tabs>
                <w:tab w:val="left" w:pos="7965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Рассчитанная НМЦ соответствует рыночным показателям.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contextualSpacing/>
              <w:jc w:val="both"/>
              <w:spacing w:before="60" w:after="60"/>
              <w:widowControl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  <w:tbl>
            <w:tblPr>
              <w:tblW w:w="14280" w:type="dxa"/>
              <w:tblLayout w:type="fixed"/>
              <w:tblLook w:val="04A0" w:firstRow="1" w:lastRow="0" w:firstColumn="1" w:lastColumn="0" w:noHBand="0" w:noVBand="1"/>
            </w:tblPr>
            <w:tblGrid>
              <w:gridCol w:w="7938"/>
              <w:gridCol w:w="2410"/>
              <w:gridCol w:w="567"/>
              <w:gridCol w:w="3365"/>
            </w:tblGrid>
            <w:tr>
              <w:tblPrEx/>
              <w:trPr/>
              <w:tc>
                <w:tcPr>
                  <w:tcW w:w="7938" w:type="dxa"/>
                  <w:textDirection w:val="lrTb"/>
                  <w:noWrap w:val="false"/>
                </w:tcPr>
                <w:p>
                  <w:pPr>
                    <w:ind w:hanging="58"/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Исполнитель расчета</w:t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2410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W w:w="567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3365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W w:w="7938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</w:tcBorders>
                  <w:tcW w:w="2410" w:type="dxa"/>
                  <w:textDirection w:val="lrTb"/>
                  <w:noWrap w:val="false"/>
                </w:tcPr>
                <w:p>
                  <w:pPr>
                    <w:jc w:val="center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(подпись)</w:t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W w:w="567" w:type="dxa"/>
                  <w:textDirection w:val="lrTb"/>
                  <w:noWrap w:val="false"/>
                </w:tcPr>
                <w:p>
                  <w:pPr>
                    <w:jc w:val="center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</w:tcBorders>
                  <w:tcW w:w="3365" w:type="dxa"/>
                  <w:textDirection w:val="lrTb"/>
                  <w:noWrap w:val="false"/>
                </w:tcPr>
                <w:p>
                  <w:pPr>
                    <w:jc w:val="center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(расшифровка)</w:t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80"/>
              </w:trPr>
              <w:tc>
                <w:tcPr>
                  <w:tcW w:w="7938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iCs/>
                      <w:sz w:val="24"/>
                      <w:szCs w:val="24"/>
                      <w:lang w:eastAsia="en-US"/>
                    </w:rPr>
                    <w:t xml:space="preserve">Дата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расчета: </w:t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W w:w="2410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W w:w="567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  <w:tc>
                <w:tcPr>
                  <w:tcW w:w="3365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tabs>
                      <w:tab w:val="left" w:pos="7965" w:leader="none"/>
                    </w:tabs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  <w:r>
                    <w:rPr>
                      <w:color w:val="00000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contextualSpacing/>
              <w:jc w:val="both"/>
              <w:spacing w:before="60" w:after="60"/>
              <w:widowControl/>
              <w:tabs>
                <w:tab w:val="left" w:pos="3516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36" w:type="dxa"/>
            <w:textDirection w:val="lrTb"/>
            <w:noWrap w:val="false"/>
          </w:tcPr>
          <w:p>
            <w:pPr>
              <w:contextualSpacing/>
              <w:jc w:val="both"/>
              <w:spacing w:before="60" w:after="6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widowControl/>
        <w:rPr>
          <w:b/>
          <w:sz w:val="28"/>
          <w:szCs w:val="28"/>
        </w:rPr>
        <w:sectPr>
          <w:footerReference w:type="default" r:id="rId20"/>
          <w:footnotePr/>
          <w:endnotePr/>
          <w:type w:val="nextPage"/>
          <w:pgSz w:w="16838" w:h="11905" w:orient="landscape"/>
          <w:pgMar w:top="1134" w:right="567" w:bottom="1134" w:left="1134" w:header="397" w:footer="397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366"/>
      </w:pPr>
      <w:r/>
      <w:bookmarkStart w:id="96" w:name="Приложение2"/>
      <w:r/>
      <w:bookmarkStart w:id="97" w:name="_Toc22"/>
      <w:r>
        <w:t xml:space="preserve">Приложение 2</w:t>
      </w:r>
      <w:bookmarkEnd w:id="96"/>
      <w:r/>
      <w:bookmarkEnd w:id="97"/>
      <w:r/>
      <w:r/>
    </w:p>
    <w:p>
      <w:pPr>
        <w:pStyle w:val="1366"/>
      </w:pPr>
      <w:r/>
      <w:bookmarkStart w:id="98" w:name="_Toc23"/>
      <w:r>
        <w:t xml:space="preserve">Рекомендуемая форма запроса коммерческих предложений</w:t>
      </w:r>
      <w:bookmarkEnd w:id="98"/>
      <w:r/>
      <w:r/>
    </w:p>
    <w:p>
      <w:pPr>
        <w:jc w:val="center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8080"/>
        <w:jc w:val="center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По списку рассылки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Запрос коммерческого предложения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Просим Вас направить до __.__.____ года в адрес АО «Псковэнергоагент» (далее – Заказчик) коммерческое предложение на </w:t>
      </w:r>
      <w:r>
        <w:rPr>
          <w:i/>
          <w:sz w:val="24"/>
          <w:szCs w:val="24"/>
        </w:rPr>
        <w:t xml:space="preserve">[поставку / выполнение работ / оказание услуг]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br/>
        <w:t xml:space="preserve">с учетом требований изложенных в техническом задании/спецификации на поставку (приложение 1).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подготовке коммерческого предложения просим указывать дату исходящего письма, ИНН организации (рекомендовано ставить печать организации), в т.ч. при формировании цены предложения просим учитывать: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0"/>
          <w:numId w:val="41"/>
        </w:numPr>
        <w:tabs>
          <w:tab w:val="left" w:pos="993" w:leader="none"/>
        </w:tabs>
      </w:pPr>
      <w:r>
        <w:t xml:space="preserve">плановый срок поставки/выполнения работ/оказания услуг: с ______ до ________.</w:t>
      </w:r>
      <w:r/>
    </w:p>
    <w:p>
      <w:pPr>
        <w:pStyle w:val="1410"/>
        <w:numPr>
          <w:ilvl w:val="0"/>
          <w:numId w:val="41"/>
        </w:numPr>
        <w:tabs>
          <w:tab w:val="left" w:pos="993" w:leader="none"/>
        </w:tabs>
      </w:pPr>
      <w:r>
        <w:t xml:space="preserve">место поставки/выполнения работ/оказания услуг: _________________.</w:t>
      </w:r>
      <w:r/>
    </w:p>
    <w:p>
      <w:pPr>
        <w:pStyle w:val="1410"/>
        <w:numPr>
          <w:ilvl w:val="0"/>
          <w:numId w:val="41"/>
        </w:numPr>
        <w:tabs>
          <w:tab w:val="left" w:pos="993" w:leader="none"/>
        </w:tabs>
      </w:pPr>
      <w:r>
        <w:rPr>
          <w:i/>
        </w:rPr>
        <w:t xml:space="preserve">[Указываются иные требования, влияющие на формирование конечной стоимости поставки/выполнения работ/оказания услуг]</w:t>
      </w:r>
      <w:r>
        <w:t xml:space="preserve">. </w:t>
      </w:r>
      <w:r/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Обращаем Ваше внимание на необходимость в коммерческом предложении указать реестровые номера предлагаемой продукции, предусмотренные постановлениями Правительства РФ от 17. 07. 2015 № 719 / от 10. 07. 2019 № 878.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стоимость также необходимо включить все расходы, связанные с </w:t>
      </w:r>
      <w:r>
        <w:rPr>
          <w:i/>
          <w:sz w:val="24"/>
          <w:szCs w:val="24"/>
        </w:rPr>
        <w:t xml:space="preserve">поставкой/выполнением работ/оказанием услуг</w:t>
      </w:r>
      <w:r>
        <w:rPr>
          <w:sz w:val="24"/>
          <w:szCs w:val="24"/>
        </w:rPr>
        <w:t xml:space="preserve">, налоги и другие возможные платежи.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Цены за единицу продукции в коммерческом предложении необходимо указывать без учета НДС.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коммерческого предложения не является офертой, приглашением делать оферты, и не несет для Общества никаких правовых последствий.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Контактное лицо </w:t>
      </w:r>
      <w:r>
        <w:rPr>
          <w:i/>
          <w:sz w:val="24"/>
          <w:szCs w:val="24"/>
        </w:rPr>
        <w:t xml:space="preserve">[Указывается ФИО, должность, рабочий телефон, адрес электронной почты.]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6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Приложение: спецификация на поставку /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tabs>
          <w:tab w:val="right" w:pos="1020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_______________________</w:t>
      </w:r>
      <w:r>
        <w:rPr>
          <w:sz w:val="24"/>
          <w:szCs w:val="24"/>
          <w:lang w:eastAsia="en-US"/>
        </w:rPr>
        <w:tab/>
        <w:t xml:space="preserve">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</w:pPr>
      <w:r>
        <w:t xml:space="preserve">Исп. _____________,</w:t>
      </w:r>
      <w:r/>
    </w:p>
    <w:p>
      <w:pPr>
        <w:jc w:val="both"/>
        <w:keepLines/>
        <w:rPr>
          <w:rStyle w:val="1384"/>
          <w:b w:val="0"/>
          <w:color w:val="auto"/>
          <w:sz w:val="20"/>
          <w:szCs w:val="20"/>
          <w:lang w:eastAsia="ru-RU"/>
        </w:rPr>
      </w:pPr>
      <w:r>
        <w:t xml:space="preserve">тел.: (___) _________.</w:t>
      </w:r>
      <w:bookmarkStart w:id="99" w:name="_Приложение_3"/>
      <w:r/>
      <w:bookmarkEnd w:id="99"/>
      <w:r>
        <w:rPr>
          <w:color w:val="000000"/>
          <w:sz w:val="28"/>
          <w:szCs w:val="28"/>
        </w:rPr>
        <w:br w:type="page" w:clear="all"/>
      </w:r>
      <w:r>
        <w:rPr>
          <w:rStyle w:val="1384"/>
          <w:b w:val="0"/>
          <w:color w:val="auto"/>
          <w:sz w:val="20"/>
          <w:szCs w:val="20"/>
          <w:lang w:eastAsia="ru-RU"/>
        </w:rPr>
      </w:r>
      <w:r>
        <w:rPr>
          <w:rStyle w:val="1384"/>
          <w:b w:val="0"/>
          <w:color w:val="auto"/>
          <w:sz w:val="20"/>
          <w:szCs w:val="20"/>
          <w:lang w:eastAsia="ru-RU"/>
        </w:rPr>
      </w:r>
    </w:p>
    <w:p>
      <w:pPr>
        <w:pStyle w:val="1366"/>
      </w:pPr>
      <w:r/>
      <w:bookmarkStart w:id="100" w:name="_Toc24"/>
      <w:r>
        <w:t xml:space="preserve">Приложение 3</w:t>
      </w:r>
      <w:bookmarkEnd w:id="100"/>
      <w:r/>
      <w:r/>
    </w:p>
    <w:p>
      <w:pPr>
        <w:pStyle w:val="1366"/>
      </w:pPr>
      <w:r/>
      <w:bookmarkStart w:id="101" w:name="_Форма_запроса_коммерческих"/>
      <w:r/>
      <w:bookmarkStart w:id="102" w:name="_Toc25"/>
      <w:r/>
      <w:bookmarkEnd w:id="101"/>
      <w:r>
        <w:t xml:space="preserve">Форма запроса коммерческих предложений при закупке консультационных услуг</w:t>
      </w:r>
      <w:bookmarkEnd w:id="102"/>
      <w:r/>
      <w:r/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8080"/>
        <w:jc w:val="center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По списку рассылки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Запрос коммерческого предложения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Просим Вас направить до __.__.____ года в адрес АО «Псковэнергоагент» (далее – Заказчик) коммерческое предложение по форме (приложение 1) на оказание услуг ______ , с учетом требований, изложенных в техническом задании (приложение 2).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При подготовке коммерческого предложения, в т.ч. при формировании цены предложения просим учитывать: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10"/>
        <w:numPr>
          <w:ilvl w:val="0"/>
          <w:numId w:val="42"/>
        </w:numPr>
        <w:tabs>
          <w:tab w:val="left" w:pos="993" w:leader="none"/>
        </w:tabs>
      </w:pPr>
      <w:r>
        <w:t xml:space="preserve">плановый срок оказания услуг: с ______ до ________.</w:t>
      </w:r>
      <w:r/>
    </w:p>
    <w:p>
      <w:pPr>
        <w:pStyle w:val="1410"/>
        <w:numPr>
          <w:ilvl w:val="0"/>
          <w:numId w:val="42"/>
        </w:numPr>
        <w:tabs>
          <w:tab w:val="left" w:pos="993" w:leader="none"/>
        </w:tabs>
      </w:pPr>
      <w:r>
        <w:t xml:space="preserve">место оказания услуг: _________________.</w:t>
      </w:r>
      <w:r/>
    </w:p>
    <w:p>
      <w:pPr>
        <w:pStyle w:val="1410"/>
        <w:numPr>
          <w:ilvl w:val="0"/>
          <w:numId w:val="42"/>
        </w:numPr>
        <w:tabs>
          <w:tab w:val="left" w:pos="993" w:leader="none"/>
        </w:tabs>
        <w:rPr>
          <w:i/>
        </w:rPr>
      </w:pPr>
      <w:r>
        <w:rPr>
          <w:i/>
        </w:rPr>
        <w:t xml:space="preserve">[Указываются иные требования, влияющие на формирование конечной стоимости поставки/выполнения работ/оказания услуг].</w:t>
      </w:r>
      <w:r>
        <w:rPr>
          <w:i/>
        </w:rPr>
      </w:r>
      <w:r>
        <w:rPr>
          <w:i/>
        </w:rPr>
      </w:r>
    </w:p>
    <w:p>
      <w:pPr>
        <w:ind w:firstLine="567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В стоимость также необходимо включить все расходы, связанные с оказанием услуг, налоги и другие возможные платежи.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Настоящий запрос коммерческого предложения не является офертой, приглашением делать оферты, и не несет для Общества никаких правовых последствий.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Коммерческое предложение просим направить по форме приложения 1.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tabs>
          <w:tab w:val="left" w:pos="993" w:leader="none"/>
        </w:tabs>
        <w:rPr>
          <w:i/>
          <w:sz w:val="24"/>
          <w:szCs w:val="24"/>
        </w:rPr>
      </w:pPr>
      <w:r>
        <w:rPr>
          <w:sz w:val="24"/>
          <w:szCs w:val="24"/>
          <w:lang w:eastAsia="en-US"/>
        </w:rPr>
        <w:t xml:space="preserve">Контактное лицо </w:t>
      </w:r>
      <w:r>
        <w:rPr>
          <w:i/>
          <w:sz w:val="24"/>
          <w:szCs w:val="24"/>
          <w:lang w:eastAsia="en-US"/>
        </w:rPr>
        <w:t xml:space="preserve">[Указывается ФИО, должность, рабочий телефон, адрес электронной почты.]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6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Приложения: 1. </w:t>
      </w:r>
      <w:r>
        <w:rPr>
          <w:sz w:val="24"/>
          <w:szCs w:val="24"/>
          <w:lang w:eastAsia="en-US"/>
        </w:rPr>
        <w:t xml:space="preserve">Форма коммерческого предложения.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 w:firstLine="851"/>
        <w:jc w:val="both"/>
        <w:widowControl/>
        <w:tabs>
          <w:tab w:val="left" w:pos="601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2. 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tabs>
          <w:tab w:val="right" w:pos="1020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_______________________</w:t>
      </w:r>
      <w:r>
        <w:rPr>
          <w:sz w:val="24"/>
          <w:szCs w:val="24"/>
          <w:lang w:eastAsia="en-US"/>
        </w:rPr>
        <w:tab/>
        <w:t xml:space="preserve">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left" w:pos="7965" w:leader="none"/>
        </w:tabs>
      </w:pPr>
      <w:r>
        <w:rPr>
          <w:lang w:eastAsia="en-US"/>
        </w:rPr>
        <w:t xml:space="preserve">Исп. _____________,</w:t>
      </w:r>
      <w:r/>
    </w:p>
    <w:p>
      <w:pPr>
        <w:jc w:val="both"/>
        <w:widowControl/>
        <w:tabs>
          <w:tab w:val="left" w:pos="7965" w:leader="none"/>
        </w:tabs>
        <w:rPr>
          <w:lang w:eastAsia="en-US"/>
        </w:rPr>
      </w:pPr>
      <w:r>
        <w:rPr>
          <w:lang w:eastAsia="en-US"/>
        </w:rPr>
        <w:t xml:space="preserve">тел.: (___) _________.</w:t>
      </w:r>
      <w:r>
        <w:rPr>
          <w:lang w:eastAsia="en-US"/>
        </w:rPr>
      </w:r>
      <w:r>
        <w:rPr>
          <w:lang w:eastAsia="en-US"/>
        </w:rPr>
      </w:r>
    </w:p>
    <w:p>
      <w:pPr>
        <w:ind w:firstLine="6096"/>
        <w:jc w:val="both"/>
        <w:widowControl/>
        <w:tabs>
          <w:tab w:val="left" w:pos="7965" w:leader="none"/>
        </w:tabs>
        <w:rPr>
          <w:color w:val="000000"/>
          <w:sz w:val="24"/>
          <w:szCs w:val="24"/>
        </w:rPr>
      </w:pPr>
      <w:r>
        <w:rPr>
          <w:color w:val="000000"/>
          <w:sz w:val="28"/>
          <w:szCs w:val="28"/>
          <w:lang w:eastAsia="en-US"/>
        </w:rPr>
        <w:br w:type="page" w:clear="all"/>
      </w:r>
      <w:r>
        <w:rPr>
          <w:color w:val="000000"/>
          <w:sz w:val="24"/>
          <w:szCs w:val="24"/>
          <w:lang w:eastAsia="en-US"/>
        </w:rPr>
        <w:t xml:space="preserve">Приложение 1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right="-5" w:firstLine="6096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к запросу коммерческого предложения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right="-5" w:firstLine="567"/>
        <w:jc w:val="center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right="-5" w:firstLine="567"/>
        <w:jc w:val="center"/>
        <w:widowControl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eastAsia="en-US"/>
        </w:rPr>
        <w:t xml:space="preserve">Форма коммерческого предложения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ind w:right="-5" w:firstLine="567"/>
        <w:jc w:val="center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right="-5" w:firstLine="567"/>
        <w:jc w:val="center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[На бланке организации]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right="-5" w:firstLine="567"/>
        <w:jc w:val="center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widowControl/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_____ в лице _______ </w:t>
      </w:r>
      <w:r>
        <w:rPr>
          <w:sz w:val="24"/>
          <w:szCs w:val="24"/>
          <w:lang w:eastAsia="en-US"/>
        </w:rPr>
        <w:t xml:space="preserve">готовы оказать услуги ______ , с учетом требований, изложенных в техническом задании на следующих условия: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срок оказания услуг: с ______ до 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стоимость услуг: 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Расчет стоимости консультационных услуг: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tbl>
      <w:tblPr>
        <w:tblW w:w="1020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64"/>
        <w:gridCol w:w="720"/>
        <w:gridCol w:w="980"/>
        <w:gridCol w:w="1900"/>
        <w:gridCol w:w="1440"/>
        <w:gridCol w:w="1993"/>
      </w:tblGrid>
      <w:tr>
        <w:tblPrEx/>
        <w:trPr>
          <w:cantSplit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br w:type="page" w:clear="all"/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п/п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64" w:type="dxa"/>
            <w:textDirection w:val="lrTb"/>
            <w:noWrap w:val="false"/>
          </w:tcPr>
          <w:p>
            <w:pPr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Консультант – представитель Исполнителя,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  <w:p>
            <w:pPr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принимающий участие в оказании консультационных услуг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W w:w="1700" w:type="dxa"/>
            <w:textDirection w:val="lrTb"/>
            <w:noWrap w:val="false"/>
          </w:tcPr>
          <w:p>
            <w:pPr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Сроки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  <w:p>
            <w:pPr>
              <w:widowControl/>
              <w:tabs>
                <w:tab w:val="right" w:pos="9360" w:leader="none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участия в оказании услуг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1900" w:type="dxa"/>
            <w:textDirection w:val="lrTb"/>
            <w:noWrap w:val="false"/>
          </w:tcPr>
          <w:p>
            <w:pPr>
              <w:widowControl/>
              <w:tabs>
                <w:tab w:val="right" w:pos="9360" w:leader="none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Трудозатраты консультанта / юриста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, рабочих чел-часов участия в оказании услуг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1440" w:type="dxa"/>
            <w:textDirection w:val="lrTb"/>
            <w:noWrap w:val="false"/>
          </w:tcPr>
          <w:p>
            <w:pPr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Стоимость чел-часа работы консультанта / юриста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, руб./чел-час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Стоимость оказываемых услуг консультанта / юриста, руб.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709" w:type="dxa"/>
            <w:vMerge w:val="continue"/>
            <w:textDirection w:val="lrTb"/>
            <w:noWrap w:val="false"/>
          </w:tcPr>
          <w:p>
            <w:pPr>
              <w:ind w:firstLine="567"/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2464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Фамилия И.О./должность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72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начало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окончание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0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4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1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464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2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720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3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4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00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440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6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7=6*5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64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720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00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40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64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72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0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4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64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72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0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4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64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72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0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40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10206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РАСЧЕТ СТОИМОСТИ КОНСУЛЬТАЦИОННЫХ УСЛУГ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821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Итого стоимость услуг консультантов, руб.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821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Накладные расходы по ставке ____% от стоимости услуг консультантов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821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Всего себестоимость консультационных услуг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821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Рентабельность по ставке ___% от себестоимости консультационных услуг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821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Всего стоимость консультационных услуг без НДС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821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НДС по ставке 22%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821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Всего стоимость консультационных услуг с НДС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993" w:type="dxa"/>
            <w:textDirection w:val="lrTb"/>
            <w:noWrap w:val="false"/>
          </w:tcPr>
          <w:p>
            <w:pPr>
              <w:jc w:val="both"/>
              <w:widowControl/>
              <w:tabs>
                <w:tab w:val="right" w:pos="936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ind w:firstLine="567"/>
        <w:jc w:val="both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widowControl/>
        <w:tabs>
          <w:tab w:val="right" w:pos="9360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eastAsia="en-US"/>
        </w:rPr>
        <w:t xml:space="preserve">Расшифровка расчета ставки возмещения (средняя по всем категориям):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567"/>
        <w:jc w:val="both"/>
        <w:widowControl/>
        <w:tabs>
          <w:tab w:val="right" w:pos="9360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tbl>
      <w:tblPr>
        <w:tblW w:w="10206" w:type="dxa"/>
        <w:tblInd w:w="-10" w:type="dxa"/>
        <w:tblLook w:val="04A0" w:firstRow="1" w:lastRow="0" w:firstColumn="1" w:lastColumn="0" w:noHBand="0" w:noVBand="1"/>
      </w:tblPr>
      <w:tblGrid>
        <w:gridCol w:w="827"/>
        <w:gridCol w:w="4536"/>
        <w:gridCol w:w="1725"/>
        <w:gridCol w:w="3118"/>
      </w:tblGrid>
      <w:tr>
        <w:tblPrEx/>
        <w:trPr>
          <w:trHeight w:val="420"/>
          <w:tblHeader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827" w:type="dxa"/>
            <w:vAlign w:val="center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36" w:type="dxa"/>
            <w:vAlign w:val="center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Наименование статей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25" w:type="dxa"/>
            <w:vAlign w:val="center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Ед.изм.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Сумма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827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36" w:type="dxa"/>
            <w:vAlign w:val="bottom"/>
            <w:textDirection w:val="lrTb"/>
            <w:noWrap/>
          </w:tcPr>
          <w:p>
            <w:p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Основная заработная плата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25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827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36" w:type="dxa"/>
            <w:vAlign w:val="bottom"/>
            <w:textDirection w:val="lrTb"/>
            <w:noWrap/>
          </w:tcPr>
          <w:p>
            <w:p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Страховые взносы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25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21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827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36" w:type="dxa"/>
            <w:vAlign w:val="bottom"/>
            <w:textDirection w:val="lrTb"/>
            <w:noWrap w:val="false"/>
          </w:tcPr>
          <w:p>
            <w:p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Страхование от несчастных случаев на производстве и проф. заболеваний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25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827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36" w:type="dxa"/>
            <w:vAlign w:val="bottom"/>
            <w:textDirection w:val="lrTb"/>
            <w:noWrap/>
          </w:tcPr>
          <w:p>
            <w:p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Материальные затраты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25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827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36" w:type="dxa"/>
            <w:vAlign w:val="bottom"/>
            <w:textDirection w:val="lrTb"/>
            <w:noWrap/>
          </w:tcPr>
          <w:p>
            <w:p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Амортизация основных средств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25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2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6" w:space="0"/>
              <w:right w:val="single" w:color="auto" w:sz="4" w:space="0"/>
            </w:tcBorders>
            <w:tcW w:w="827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single" w:color="auto" w:sz="4" w:space="0"/>
            </w:tcBorders>
            <w:tcW w:w="4536" w:type="dxa"/>
            <w:vAlign w:val="bottom"/>
            <w:textDirection w:val="lrTb"/>
            <w:noWrap/>
          </w:tcPr>
          <w:p>
            <w:pPr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Итого прямых затрат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single" w:color="auto" w:sz="4" w:space="0"/>
            </w:tcBorders>
            <w:tcW w:w="1725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руб.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single" w:color="auto" w:sz="4" w:space="0"/>
            </w:tcBorders>
            <w:tcW w:w="3118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827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36" w:type="dxa"/>
            <w:vAlign w:val="bottom"/>
            <w:textDirection w:val="lrTb"/>
            <w:noWrap/>
          </w:tcPr>
          <w:p>
            <w:p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Накладные расходы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25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827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36" w:type="dxa"/>
            <w:vAlign w:val="bottom"/>
            <w:textDirection w:val="lrTb"/>
            <w:noWrap/>
          </w:tcPr>
          <w:p>
            <w:p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Прибыль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25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6" w:space="0"/>
              <w:right w:val="single" w:color="auto" w:sz="4" w:space="0"/>
            </w:tcBorders>
            <w:tcW w:w="827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9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single" w:color="auto" w:sz="4" w:space="0"/>
            </w:tcBorders>
            <w:tcW w:w="4536" w:type="dxa"/>
            <w:vAlign w:val="bottom"/>
            <w:textDirection w:val="lrTb"/>
            <w:noWrap/>
          </w:tcPr>
          <w:p>
            <w:pPr>
              <w:jc w:val="both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Итого затрат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single" w:color="auto" w:sz="4" w:space="0"/>
            </w:tcBorders>
            <w:tcW w:w="1725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руб.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single" w:color="auto" w:sz="4" w:space="0"/>
            </w:tcBorders>
            <w:tcW w:w="3118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827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536" w:type="dxa"/>
            <w:vAlign w:val="bottom"/>
            <w:textDirection w:val="lrTb"/>
            <w:noWrap/>
          </w:tcPr>
          <w:p>
            <w:p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НДС 22 %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25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827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11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4536" w:type="dxa"/>
            <w:vAlign w:val="bottom"/>
            <w:textDirection w:val="lrTb"/>
            <w:noWrap/>
          </w:tcPr>
          <w:p>
            <w:pPr>
              <w:jc w:val="both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Всего с учетом НДС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725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руб.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3118" w:type="dxa"/>
            <w:vAlign w:val="bottom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ind w:firstLine="567"/>
        <w:jc w:val="both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Срок действия коммерческого предложения: 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Контактная информация: 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Приложения: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Дата: 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tabs>
          <w:tab w:val="right" w:pos="10204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_______________________                                                                         </w:t>
      </w:r>
      <w:r>
        <w:rPr>
          <w:sz w:val="24"/>
          <w:szCs w:val="24"/>
          <w:lang w:eastAsia="en-US"/>
        </w:rPr>
        <w:tab/>
        <w:t xml:space="preserve">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keepLines/>
        <w:widowControl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firstLine="567"/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keepLines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widowControl/>
      </w:pPr>
      <w:r>
        <w:rPr>
          <w:lang w:eastAsia="en-US"/>
        </w:rPr>
        <w:t xml:space="preserve">Исп. _____________,</w:t>
      </w:r>
      <w:r/>
    </w:p>
    <w:p>
      <w:pPr>
        <w:jc w:val="both"/>
        <w:keepLines/>
        <w:widowControl/>
        <w:rPr>
          <w:sz w:val="24"/>
          <w:szCs w:val="24"/>
        </w:rPr>
      </w:pPr>
      <w:r>
        <w:rPr>
          <w:lang w:eastAsia="en-US"/>
        </w:rPr>
        <w:t xml:space="preserve">тел.: (___) _________.</w:t>
      </w:r>
      <w:r>
        <w:rPr>
          <w:sz w:val="28"/>
          <w:szCs w:val="28"/>
          <w:lang w:eastAsia="en-US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66"/>
      </w:pPr>
      <w:r/>
      <w:bookmarkStart w:id="103" w:name="_Toc26"/>
      <w:r>
        <w:rPr>
          <w:rFonts w:eastAsiaTheme="majorEastAsia"/>
        </w:rPr>
        <w:t xml:space="preserve">Приложение 4</w:t>
      </w:r>
      <w:bookmarkEnd w:id="103"/>
      <w:r/>
      <w:r/>
    </w:p>
    <w:p>
      <w:pPr>
        <w:pStyle w:val="1366"/>
      </w:pPr>
      <w:r/>
      <w:bookmarkStart w:id="104" w:name="_Toc27"/>
      <w:r>
        <w:rPr>
          <w:rFonts w:eastAsiaTheme="majorEastAsia"/>
        </w:rPr>
        <w:t xml:space="preserve">Форма протокола телефонных переговоров для определения начальной (максимальной) цены договора</w:t>
      </w:r>
      <w:bookmarkEnd w:id="104"/>
      <w:r/>
      <w:r/>
    </w:p>
    <w:p>
      <w:pPr>
        <w:jc w:val="center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Протокол телефонных переговоров для определения начальной (максимальной) цены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Наименование закупки (лота):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Данные о контрагенте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Наименование: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Место нахождения: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Наименование предлагаемого товара: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Отличие предлагаемого товара от требуемого: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Цена с НДС: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Срок действия цены: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Условия поставки: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Условия оплаты: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Сотрудник организации, предоставивший информацию (должность, ФИО, контактные данные)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br/>
        <w:t xml:space="preserve">_____________________________________________________________________________________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tabs>
          <w:tab w:val="right" w:pos="10206" w:leader="underscor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Сотрудник, проводивший переговоры: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Дата 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rPr>
          <w:sz w:val="28"/>
          <w:szCs w:val="28"/>
        </w:rPr>
      </w:pPr>
      <w:r>
        <w:rPr>
          <w:sz w:val="28"/>
          <w:szCs w:val="28"/>
          <w:lang w:eastAsia="en-US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/>
        <w:rPr>
          <w:b/>
          <w:bCs/>
          <w:color w:val="000000" w:themeColor="text1"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Лист регистрации изменений и периодических проверок</w:t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ind w:firstLine="567"/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9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80"/>
        <w:gridCol w:w="4677"/>
        <w:gridCol w:w="4536"/>
      </w:tblGrid>
      <w:tr>
        <w:tblPrEx/>
        <w:trPr>
          <w:trHeight w:val="851"/>
        </w:trPr>
        <w:tc>
          <w:tcPr>
            <w:tcW w:w="880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№№ пп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67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Изменение № / Результаты проверки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Дата и номер документа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765"/>
        </w:trPr>
        <w:tc>
          <w:tcPr>
            <w:tcW w:w="880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677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765"/>
        </w:trPr>
        <w:tc>
          <w:tcPr>
            <w:tcW w:w="880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677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765"/>
        </w:trPr>
        <w:tc>
          <w:tcPr>
            <w:tcW w:w="880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677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765"/>
        </w:trPr>
        <w:tc>
          <w:tcPr>
            <w:tcW w:w="880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677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765"/>
        </w:trPr>
        <w:tc>
          <w:tcPr>
            <w:tcW w:w="880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677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765"/>
        </w:trPr>
        <w:tc>
          <w:tcPr>
            <w:tcW w:w="880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677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4"/>
      <w:headerReference w:type="first" r:id="rId15"/>
      <w:footerReference w:type="default" r:id="rId21"/>
      <w:footerReference w:type="first" r:id="rId22"/>
      <w:footnotePr/>
      <w:endnotePr/>
      <w:type w:val="nextPage"/>
      <w:pgSz w:w="11905" w:h="16838" w:orient="portrait"/>
      <w:pgMar w:top="1134" w:right="567" w:bottom="1134" w:left="1134" w:header="397" w:footer="397" w:gutter="0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Symbol">
    <w:panose1 w:val="05010000000000000000"/>
  </w:font>
  <w:font w:name="Wingdings">
    <w:panose1 w:val="05010000000000000000"/>
  </w:font>
  <w:font w:name="Verdana">
    <w:panose1 w:val="020B0604030504040204"/>
  </w:font>
  <w:font w:name="Webdings">
    <w:panose1 w:val="05030102010509060703"/>
  </w:font>
  <w:font w:name="Proxima Nova ExCn Rg">
    <w:panose1 w:val="020F0502020204030204"/>
  </w:font>
  <w:font w:name="Segoe UI">
    <w:panose1 w:val="020B0502040504020204"/>
  </w:font>
  <w:font w:name="Courier New">
    <w:panose1 w:val="02070309020205020404"/>
  </w:font>
  <w:font w:name="AGOpus">
    <w:panose1 w:val="020F0502020204030204"/>
  </w:font>
  <w:font w:name="Times New Roman">
    <w:panose1 w:val="02020603050405020304"/>
  </w:font>
  <w:font w:name="PF Din Text Cond Pro Light">
    <w:panose1 w:val="02000000000000000000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67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18</w:t>
    </w:r>
    <w:r>
      <w:fldChar w:fldCharType="end"/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67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2</w:t>
    </w:r>
    <w:r>
      <w:fldChar w:fldCharType="end"/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67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19</w:t>
    </w:r>
    <w:r>
      <w:fldChar w:fldCharType="end"/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67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26</w:t>
    </w:r>
    <w:r>
      <w:fldChar w:fldCharType="end"/>
    </w:r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79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32</w:t>
    </w:r>
    <w:r>
      <w:fldChar w:fldCharType="end"/>
    </w:r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67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27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399"/>
      </w:pPr>
      <w:r>
        <w:rPr>
          <w:rStyle w:val="1401"/>
          <w:rFonts w:eastAsia="Calibri"/>
        </w:rPr>
        <w:footnoteRef/>
      </w:r>
      <w:r>
        <w:t xml:space="preserve"> При этом дополнительную ценовую информацию следует привести к условиям закупки, при необходимости включить в расчет стоимость доставки по среднему значению такой услуги на рынке.</w:t>
      </w:r>
      <w:r/>
    </w:p>
  </w:footnote>
  <w:footnote w:id="3">
    <w:p>
      <w:pPr>
        <w:pStyle w:val="1399"/>
      </w:pPr>
      <w:r>
        <w:rPr>
          <w:vertAlign w:val="superscript"/>
        </w:rPr>
        <w:footnoteRef/>
      </w:r>
      <w:r>
        <w:t xml:space="preserve"> Если иное не определено коммерческим предложением поставщика.</w:t>
      </w:r>
      <w:r/>
    </w:p>
  </w:footnote>
  <w:footnote w:id="4">
    <w:p>
      <w:pPr>
        <w:contextualSpacing/>
        <w:ind w:firstLine="567"/>
        <w:jc w:val="both"/>
      </w:pPr>
      <w:r>
        <w:rPr>
          <w:rStyle w:val="1401"/>
          <w:rFonts w:eastAsia="Calibri"/>
        </w:rPr>
        <w:footnoteRef/>
      </w:r>
      <w:r>
        <w:t xml:space="preserve"> Если НМЦ определяется для единичных расценок, тогда для расчета процента отклонения итоговую цену предложения </w:t>
      </w:r>
      <w:r>
        <w:rPr>
          <w:rFonts w:eastAsia="Calibri"/>
        </w:rPr>
        <w:t xml:space="preserve">рассчитывают, как сумму единичных цен предложения.</w:t>
      </w:r>
      <w:r/>
    </w:p>
  </w:footnote>
  <w:footnote w:id="5">
    <w:p>
      <w:pPr>
        <w:pStyle w:val="1399"/>
      </w:pPr>
      <w:r>
        <w:rPr>
          <w:rStyle w:val="1401"/>
          <w:rFonts w:eastAsia="Calibri"/>
        </w:rPr>
        <w:footnoteRef/>
      </w:r>
      <w:r>
        <w:t xml:space="preserve"> В форме расчета НМЦ (Приложение 1.1) есть автоматический расчет.</w:t>
      </w:r>
      <w:r/>
    </w:p>
  </w:footnote>
  <w:footnote w:id="6">
    <w:p>
      <w:pPr>
        <w:pStyle w:val="1399"/>
      </w:pPr>
      <w:r>
        <w:rPr>
          <w:rStyle w:val="1401"/>
        </w:rPr>
        <w:footnoteRef/>
      </w:r>
      <w:r>
        <w:t xml:space="preserve"> В КП могут быть не указаны дата и электронный адрес при условии получения их по электронной почте.</w:t>
      </w:r>
      <w:r/>
    </w:p>
  </w:footnote>
  <w:footnote w:id="7">
    <w:p>
      <w:pPr>
        <w:pStyle w:val="1399"/>
      </w:pPr>
      <w:r>
        <w:rPr>
          <w:rStyle w:val="1401"/>
          <w:rFonts w:eastAsia="Calibri"/>
        </w:rPr>
        <w:footnoteRef/>
      </w:r>
      <w:r>
        <w:t xml:space="preserve"> Запросы по почте необходимо направлять отдельно каждому участнику рынка.</w:t>
      </w:r>
      <w:r/>
    </w:p>
  </w:footnote>
  <w:footnote w:id="8">
    <w:p>
      <w:pPr>
        <w:pStyle w:val="1399"/>
      </w:pPr>
      <w:r>
        <w:rPr>
          <w:rStyle w:val="1401"/>
          <w:rFonts w:eastAsia="Calibri"/>
        </w:rPr>
        <w:footnoteRef/>
      </w:r>
      <w:r>
        <w:t xml:space="preserve"> При расчете индекса прогнозной и</w:t>
      </w:r>
      <w:r>
        <w:t xml:space="preserve">нфляции используются значения индексов-дефляторов Минэкономразвития России по строке «Инвестиции в основной капитал» для соответствующего периода, приведенные в Прогнозе индексов-дефляторов и индексов цен производителей по видам экономической деятельности.</w:t>
      </w:r>
      <w:r/>
    </w:p>
  </w:footnote>
  <w:footnote w:id="9">
    <w:p>
      <w:pPr>
        <w:pStyle w:val="1399"/>
      </w:pPr>
      <w:r>
        <w:rPr>
          <w:rStyle w:val="1401"/>
        </w:rPr>
        <w:footnoteRef/>
      </w:r>
      <w:r>
        <w:t xml:space="preserve"> Включается в обоснование НМЦ п</w:t>
      </w:r>
      <w:r>
        <w:t xml:space="preserve">ри закупке товара, работы,услуги по единичным расценкам. Указывается НМЦ одной единицы поставляемого товара, выполняемой работы или оказываемой услуги, при закупке двух и более позиций указывается НМЦ как сумма минимальных цен единиц товаров, работ, услуг.</w:t>
      </w:r>
      <w:r/>
    </w:p>
  </w:footnote>
  <w:footnote w:id="10">
    <w:p>
      <w:pPr>
        <w:pStyle w:val="1399"/>
      </w:pPr>
      <w:r>
        <w:rPr>
          <w:rStyle w:val="1401"/>
        </w:rPr>
        <w:footnoteRef/>
      </w:r>
      <w:r>
        <w:t xml:space="preserve"> Указывается формула цены договора, устанавливающая правила расчета сумм, подлежащих уплате заказчиком поставщику (исполнителю, подрядчику) в ходе исполнения данного договора.</w:t>
      </w:r>
      <w:r/>
    </w:p>
  </w:footnote>
  <w:footnote w:id="11">
    <w:p>
      <w:pPr>
        <w:pStyle w:val="1399"/>
      </w:pPr>
      <w:r>
        <w:rPr>
          <w:rStyle w:val="1401"/>
          <w:rFonts w:eastAsia="Calibri"/>
        </w:rPr>
        <w:footnoteRef/>
      </w:r>
      <w:r>
        <w:t xml:space="preserve"> Под особенностями рынка и (или) закупочной ситуации</w:t>
      </w:r>
      <w:r>
        <w:t xml:space="preserve">, влияющей на величину НМЦ, понимается наличие конкурентного либо неконкурентного рынка, наличие установленных в соответствии с требованиями законодательства, решениями федеральных органов исполнительной власти ограничений по приобретаемой продукции и т.п.</w:t>
      </w:r>
      <w:r/>
    </w:p>
  </w:footnote>
  <w:footnote w:id="12">
    <w:p>
      <w:pPr>
        <w:pStyle w:val="1399"/>
      </w:pPr>
      <w:r>
        <w:rPr>
          <w:rStyle w:val="1401"/>
          <w:rFonts w:eastAsia="Calibri"/>
        </w:rPr>
        <w:footnoteRef/>
      </w:r>
      <w:r>
        <w:t xml:space="preserve"> Под особенностями рынка и (или) закупочной ситуации</w:t>
      </w:r>
      <w:r>
        <w:t xml:space="preserve">, влияющей на величину НМЦ, понимается наличие конкурентного либо неконкурентного рынка, наличие установленных в соответствии с требованиями законодательства, решениями федеральных органов исполнительной власти ограничений по приобретаемой продукции и т.п.</w:t>
      </w:r>
      <w:r/>
    </w:p>
  </w:footnote>
  <w:footnote w:id="13">
    <w:p>
      <w:pPr>
        <w:pStyle w:val="1399"/>
      </w:pPr>
      <w:r>
        <w:rPr>
          <w:rStyle w:val="1401"/>
          <w:rFonts w:ascii="Proxima Nova ExCn Rg" w:hAnsi="Proxima Nova ExCn Rg" w:eastAsia="Calibri"/>
        </w:rPr>
        <w:footnoteRef/>
      </w:r>
      <w:r>
        <w:t xml:space="preserve">Фонд оплаты труда.</w:t>
      </w:r>
      <w:r/>
    </w:p>
  </w:footnote>
  <w:footnote w:id="14">
    <w:p>
      <w:pPr>
        <w:pStyle w:val="1399"/>
        <w:rPr>
          <w:rFonts w:ascii="Proxima Nova ExCn Rg" w:hAnsi="Proxima Nova ExCn Rg"/>
        </w:rPr>
      </w:pPr>
      <w:r>
        <w:rPr>
          <w:rStyle w:val="1401"/>
          <w:rFonts w:eastAsia="Calibri"/>
        </w:rPr>
        <w:footnoteRef/>
      </w:r>
      <w:r>
        <w:t xml:space="preserve"> Статьи затрат указываются в соответствии с видом закупаемой продукции и могут быть изменены (дополнены, расширены, сужены) Исполнителем расчета</w:t>
      </w:r>
      <w:r>
        <w:rPr>
          <w:rFonts w:ascii="Proxima Nova ExCn Rg" w:hAnsi="Proxima Nova ExCn Rg"/>
        </w:rPr>
        <w:t xml:space="preserve">.</w:t>
      </w:r>
      <w:r>
        <w:rPr>
          <w:rFonts w:ascii="Proxima Nova ExCn Rg" w:hAnsi="Proxima Nova ExCn Rg"/>
        </w:rPr>
      </w:r>
      <w:r>
        <w:rPr>
          <w:rFonts w:ascii="Proxima Nova ExCn Rg" w:hAnsi="Proxima Nova ExCn Rg"/>
        </w:rPr>
      </w:r>
    </w:p>
  </w:footnote>
  <w:footnote w:id="15">
    <w:p>
      <w:pPr>
        <w:pStyle w:val="1399"/>
      </w:pPr>
      <w:r>
        <w:rPr>
          <w:rStyle w:val="1401"/>
          <w:rFonts w:eastAsia="Calibri"/>
        </w:rPr>
        <w:footnoteRef/>
      </w:r>
      <w:r>
        <w:t xml:space="preserve"> Под особенностями рынка и (или) закупочной ситуации</w:t>
      </w:r>
      <w:r>
        <w:t xml:space="preserve">, влияющей на величину НМЦ, понимается наличие конкурентного либо неконкурентного рынка, наличие установленных в соответствии с требованиями законодательства, решениями федеральных органов исполнительной власти ограничений по приобретаемой продукции и т.п.</w:t>
      </w:r>
      <w:r/>
    </w:p>
  </w:footnote>
  <w:footnote w:id="16">
    <w:p>
      <w:pPr>
        <w:pStyle w:val="1399"/>
      </w:pPr>
      <w:r>
        <w:rPr>
          <w:rStyle w:val="1401"/>
          <w:rFonts w:eastAsia="Calibri"/>
        </w:rPr>
        <w:footnoteRef/>
      </w:r>
      <w:r>
        <w:t xml:space="preserve">  Заполняется подразделением экономики при согласовании проекта договора (см. п. </w:t>
      </w:r>
      <w:r>
        <w:fldChar w:fldCharType="begin"/>
      </w:r>
      <w:r>
        <w:instrText xml:space="preserve"> REF _Ref45120696 \r \h  \* MERGEFORMAT </w:instrText>
      </w:r>
      <w:r>
        <w:fldChar w:fldCharType="separate"/>
      </w:r>
      <w:r>
        <w:t xml:space="preserve">1и)</w:t>
      </w:r>
      <w:r>
        <w:fldChar w:fldCharType="end"/>
      </w:r>
      <w:r>
        <w:t xml:space="preserve"> Положения)</w:t>
      </w:r>
      <w:r/>
    </w:p>
  </w:footnote>
  <w:footnote w:id="17">
    <w:p>
      <w:pPr>
        <w:pStyle w:val="1399"/>
      </w:pPr>
      <w:r>
        <w:rPr>
          <w:rStyle w:val="1401"/>
          <w:rFonts w:eastAsia="Calibri"/>
        </w:rPr>
        <w:footnoteRef/>
      </w:r>
      <w:r>
        <w:t xml:space="preserve"> Под особенностями рынка и (или) закупочной ситуации</w:t>
      </w:r>
      <w:r>
        <w:t xml:space="preserve">, влияющей на величину НМЦ, понимается наличие конкурентного либо неконкурентного рынка, наличие установленных в соответствии с требованиями законодательства, решениями федеральных органов исполнительной власти ограничений по приобретаемой продукции и т.п.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62516640"/>
      <w:docPartObj>
        <w:docPartGallery w:val="Page Numbers (Top of Page)"/>
        <w:docPartUnique w:val="true"/>
      </w:docPartObj>
      <w:rPr/>
    </w:sdtPr>
    <w:sdtContent>
      <w:p>
        <w: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0288" behindDoc="0" locked="0" layoutInCell="1" allowOverlap="1">
                  <wp:simplePos x="0" y="0"/>
                  <wp:positionH relativeFrom="column">
                    <wp:posOffset>3764013</wp:posOffset>
                  </wp:positionH>
                  <wp:positionV relativeFrom="paragraph">
                    <wp:posOffset>71970</wp:posOffset>
                  </wp:positionV>
                  <wp:extent cx="2592070" cy="1850390"/>
                  <wp:effectExtent l="0" t="0" r="0" b="0"/>
                  <wp:wrapSquare wrapText="bothSides"/>
                  <wp:docPr id="1" name="Надпись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Pr id="0" name="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592070" cy="185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PF Din Text Cond Pro Light" w:hAnsi="PF Din Text Cond Pro Light"/>
                                </w:rPr>
                              </w:pPr>
                              <w:r>
                                <w:rPr>
                                  <w:rFonts w:ascii="PF Din Text Cond Pro Light" w:hAnsi="PF Din Text Cond Pro Light"/>
                                </w:rPr>
                                <w:t xml:space="preserve">Публичное акционерное общество</w:t>
                              </w:r>
                              <w:r>
                                <w:rPr>
                                  <w:rFonts w:ascii="PF Din Text Cond Pro Light" w:hAnsi="PF Din Text Cond Pro Light"/>
                                </w:rPr>
                              </w:r>
                              <w:r>
                                <w:rPr>
                                  <w:rFonts w:ascii="PF Din Text Cond Pro Light" w:hAnsi="PF Din Text Cond Pro Light"/>
                                </w:rPr>
                              </w:r>
                            </w:p>
                            <w:p>
                              <w:pPr>
                                <w:rPr>
                                  <w:rFonts w:ascii="PF Din Text Cond Pro Light" w:hAnsi="PF Din Text Cond Pro Light"/>
                                </w:rPr>
                              </w:pPr>
                              <w:r>
                                <w:rPr>
                                  <w:rFonts w:ascii="PF Din Text Cond Pro Light" w:hAnsi="PF Din Text Cond Pro Light"/>
                                </w:rPr>
                                <w:t xml:space="preserve">«Россети Северо-Запад»</w:t>
                              </w:r>
                              <w:r>
                                <w:rPr>
                                  <w:rFonts w:ascii="PF Din Text Cond Pro Light" w:hAnsi="PF Din Text Cond Pro Light"/>
                                </w:rPr>
                              </w:r>
                              <w:r>
                                <w:rPr>
                                  <w:rFonts w:ascii="PF Din Text Cond Pro Light" w:hAnsi="PF Din Text Cond Pro Light"/>
                                </w:rPr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shape 0" o:spid="_x0000_s0" o:spt="202" type="#_x0000_t202" style="position:absolute;z-index:251660288;o:allowoverlap:true;o:allowincell:true;mso-position-horizontal-relative:text;margin-left:296.38pt;mso-position-horizontal:absolute;mso-position-vertical-relative:text;margin-top:5.67pt;mso-position-vertical:absolute;width:204.10pt;height:145.70pt;mso-wrap-distance-left:9.00pt;mso-wrap-distance-top:3.60pt;mso-wrap-distance-right:9.00pt;mso-wrap-distance-bottom:3.60pt;v-text-anchor:top;visibility:visible;" filled="f" stroked="f" strokeweight="0.75pt">
                  <w10:wrap type="square"/>
                  <v:textbox inset="0,0,0,0">
                    <w:txbxContent>
                      <w:p>
                        <w:pPr>
                          <w:rPr>
                            <w:rFonts w:ascii="PF Din Text Cond Pro Light" w:hAnsi="PF Din Text Cond Pro Light"/>
                          </w:rPr>
                        </w:pPr>
                        <w:r>
                          <w:rPr>
                            <w:rFonts w:ascii="PF Din Text Cond Pro Light" w:hAnsi="PF Din Text Cond Pro Light"/>
                          </w:rPr>
                          <w:t xml:space="preserve">Публичное акционерное общество</w:t>
                        </w:r>
                        <w:r>
                          <w:rPr>
                            <w:rFonts w:ascii="PF Din Text Cond Pro Light" w:hAnsi="PF Din Text Cond Pro Light"/>
                          </w:rPr>
                        </w:r>
                        <w:r>
                          <w:rPr>
                            <w:rFonts w:ascii="PF Din Text Cond Pro Light" w:hAnsi="PF Din Text Cond Pro Light"/>
                          </w:rPr>
                        </w:r>
                      </w:p>
                      <w:p>
                        <w:pPr>
                          <w:rPr>
                            <w:rFonts w:ascii="PF Din Text Cond Pro Light" w:hAnsi="PF Din Text Cond Pro Light"/>
                          </w:rPr>
                        </w:pPr>
                        <w:r>
                          <w:rPr>
                            <w:rFonts w:ascii="PF Din Text Cond Pro Light" w:hAnsi="PF Din Text Cond Pro Light"/>
                          </w:rPr>
                          <w:t xml:space="preserve">«Россети Северо-Запад»</w:t>
                        </w:r>
                        <w:r>
                          <w:rPr>
                            <w:rFonts w:ascii="PF Din Text Cond Pro Light" w:hAnsi="PF Din Text Cond Pro Light"/>
                          </w:rPr>
                        </w:r>
                        <w:r>
                          <w:rPr>
                            <w:rFonts w:ascii="PF Din Text Cond Pro Light" w:hAnsi="PF Din Text Cond Pro Light"/>
                          </w:rPr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-720090</wp:posOffset>
                  </wp:positionH>
                  <wp:positionV relativeFrom="paragraph">
                    <wp:posOffset>-461430</wp:posOffset>
                  </wp:positionV>
                  <wp:extent cx="4011000" cy="1159659"/>
                  <wp:effectExtent l="6350" t="6350" r="6350" b="635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298094" name="Без номера_верх.png"/>
                          <pic:cNvPicPr>
                            <a:picLocks noChangeAspect="1"/>
                          </pic:cNvPicPr>
                          <pic:nvPr/>
                        </pic:nvPicPr>
                        <pic:blipFill>
                          <a:blip r:embed="rId1"/>
                          <a:srcRect l="0" t="0" r="46259" b="2656"/>
                          <a:stretch/>
                        </pic:blipFill>
                        <pic:spPr bwMode="auto">
                          <a:xfrm>
                            <a:off x="0" y="0"/>
                            <a:ext cx="4010999" cy="1159659"/>
                          </a:xfrm>
                          <a:prstGeom prst="rect">
                            <a:avLst/>
                          </a:prstGeom>
                          <a:ln>
                            <a:noFill/>
                            <a:round/>
                          </a:ln>
                        </pic:spPr>
                      </pic:pic>
                    </a:graphicData>
                  </a:graphic>
                </wp:anchor>
              </w:drawing>
            </mc:Choice>
            <mc:Fallback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" o:spid="_x0000_s1" type="#_x0000_t75" style="position:absolute;z-index:-251659264;o:allowoverlap:true;o:allowincell:true;mso-position-horizontal-relative:text;margin-left:-56.70pt;mso-position-horizontal:absolute;mso-position-vertical-relative:text;margin-top:-36.33pt;mso-position-vertical:absolute;width:315.83pt;height:91.31pt;mso-wrap-distance-left:9.00pt;mso-wrap-distance-top:0.00pt;mso-wrap-distance-right:9.00pt;mso-wrap-distance-bottom:0.00pt;" stroked="f">
                  <v:path textboxrect="0,0,0,0"/>
                  <v:imagedata r:id="rId1" o:title=""/>
                </v:shape>
              </w:pict>
            </mc:Fallback>
          </mc:AlternateContent>
        </w:r>
        <w:r/>
      </w:p>
      <w:p>
        <w:r/>
        <w:r/>
      </w:p>
    </w:sdtContent>
  </w:sdt>
  <w:p>
    <w:pPr>
      <w:pStyle w:val="1377"/>
    </w:pPr>
    <w:r/>
    <w:r/>
  </w:p>
  <w:p>
    <w:r/>
    <w:r/>
  </w:p>
  <w:p>
    <w:pPr>
      <w:pStyle w:val="137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4678" w:hanging="4678"/>
      <w:jc w:val="both"/>
      <w:tabs>
        <w:tab w:val="right" w:pos="10204" w:leader="none"/>
      </w:tabs>
    </w:pPr>
    <w:r>
      <w:t xml:space="preserve">АО «Псковэнергоагент»</w:t>
    </w:r>
    <w:r>
      <w:tab/>
    </w:r>
    <w:r>
      <w:t xml:space="preserve">Положение о начальной (максимальной) цене договора при проведении закупочных процедур</w:t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4962" w:hanging="4962"/>
      <w:jc w:val="both"/>
      <w:tabs>
        <w:tab w:val="right" w:pos="10206" w:leader="none"/>
      </w:tabs>
    </w:pPr>
    <w:r>
      <w:t xml:space="preserve">АО «Псковэнергоагент»</w:t>
    </w:r>
    <w:r>
      <w:tab/>
    </w:r>
    <w:r>
      <w:t xml:space="preserve">Положение о начальной (максимальной) цене договора при проведении закупочных процедур</w:t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5387" w:hanging="5387"/>
      <w:jc w:val="both"/>
      <w:tabs>
        <w:tab w:val="right" w:pos="10204" w:leader="none"/>
      </w:tabs>
    </w:pPr>
    <w:r>
      <w:t xml:space="preserve">АО «Псковэнергоагент»</w:t>
    </w:r>
    <w:r>
      <w:tab/>
      <w:t xml:space="preserve">Положение о начальной (максимальной) цене договора при проведении закупочных процедур</w:t>
    </w:r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4962" w:hanging="4962"/>
      <w:jc w:val="both"/>
      <w:tabs>
        <w:tab w:val="right" w:pos="10204" w:leader="none"/>
      </w:tabs>
    </w:pPr>
    <w:r>
      <w:t xml:space="preserve">АО «Псковэнергоагент»</w:t>
    </w:r>
    <w:r>
      <w:tab/>
      <w:t xml:space="preserve">Положение о начальной (максимальной) цене договора при проведении закупочных процедур</w:t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0252" w:type="dxa"/>
      <w:tblInd w:w="62" w:type="dxa"/>
      <w:tblLook w:val="0000" w:firstRow="0" w:lastRow="0" w:firstColumn="0" w:lastColumn="0" w:noHBand="0" w:noVBand="0"/>
    </w:tblPr>
    <w:tblGrid>
      <w:gridCol w:w="4724"/>
      <w:gridCol w:w="5528"/>
    </w:tblGrid>
    <w:tr>
      <w:tblPrEx/>
      <w:trPr>
        <w:trHeight w:val="291"/>
      </w:trPr>
      <w:tc>
        <w:tcPr>
          <w:tcW w:w="4724" w:type="dxa"/>
          <w:textDirection w:val="lrTb"/>
          <w:noWrap w:val="false"/>
        </w:tcPr>
        <w:p>
          <w:pPr>
            <w:pStyle w:val="1465"/>
          </w:pPr>
          <w:r>
            <w:t xml:space="preserve">АО «Псковэнергоагент»</w:t>
          </w:r>
          <w:r/>
        </w:p>
      </w:tc>
      <w:tc>
        <w:tcPr>
          <w:tcW w:w="5528" w:type="dxa"/>
          <w:textDirection w:val="lrTb"/>
          <w:noWrap w:val="false"/>
        </w:tcPr>
        <w:p>
          <w:r>
            <w:t xml:space="preserve">Положение о начальной (максимальной) цене договора при проведении закупочных процедур</w:t>
          </w:r>
          <w:r/>
        </w:p>
      </w:tc>
    </w:tr>
  </w:tbl>
  <w:p>
    <w:pPr>
      <w:pStyle w:val="137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russianLower"/>
      <w:isLgl w:val="false"/>
      <w:suff w:val="space"/>
      <w:lvlText w:val="%2)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19.%1"/>
      <w:lvlJc w:val="left"/>
      <w:pPr>
        <w:ind w:left="0" w:firstLine="567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567"/>
      </w:pPr>
      <w:rPr>
        <w:rFonts w:hint="default"/>
        <w:b/>
        <w:color w:val="000000" w:themeColor="text1"/>
        <w:sz w:val="24"/>
        <w:szCs w:val="24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russianLower"/>
      <w:isLgl w:val="false"/>
      <w:suff w:val="space"/>
      <w:lvlText w:val="%2)"/>
      <w:lvlJc w:val="left"/>
      <w:pPr>
        <w:ind w:left="0" w:firstLine="567"/>
      </w:pPr>
      <w:rPr>
        <w:rFonts w:hint="default"/>
        <w:b w:val="0"/>
        <w:color w:val="000000" w:themeColor="text1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12.%1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15.%1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pStyle w:val="1365"/>
      <w:isLgl w:val="false"/>
      <w:suff w:val="space"/>
      <w:lvlText w:val="%1"/>
      <w:lvlJc w:val="left"/>
      <w:pPr>
        <w:ind w:left="426" w:firstLine="567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sz w:val="24"/>
        <w:highlight w:val="none"/>
      </w:rPr>
    </w:lvl>
    <w:lvl w:ilvl="2">
      <w:start w:val="1"/>
      <w:numFmt w:val="decimal"/>
      <w:pStyle w:val="1367"/>
      <w:isLgl w:val="false"/>
      <w:suff w:val="tab"/>
      <w:lvlText w:val="8.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pStyle w:val="1368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1369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1370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1371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1372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1373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pStyle w:val="1442"/>
      <w:isLgl w:val="false"/>
      <w:suff w:val="tab"/>
      <w:lvlText w:val="%1.%2"/>
      <w:lvlJc w:val="left"/>
      <w:pPr>
        <w:ind w:left="2269" w:hanging="1134"/>
      </w:pPr>
      <w:rPr>
        <w:rFonts w:hint="default" w:cs="Times New Roman"/>
      </w:rPr>
    </w:lvl>
    <w:lvl w:ilvl="2">
      <w:start w:val="1"/>
      <w:numFmt w:val="decimal"/>
      <w:pStyle w:val="1449"/>
      <w:isLgl w:val="false"/>
      <w:suff w:val="tab"/>
      <w:lvlText w:val="%1.%2.%3"/>
      <w:lvlJc w:val="left"/>
      <w:pPr>
        <w:ind w:left="3261" w:hanging="1134"/>
      </w:pPr>
      <w:rPr>
        <w:rFonts w:hint="default" w:cs="Times New Roman"/>
      </w:rPr>
    </w:lvl>
    <w:lvl w:ilvl="3">
      <w:start w:val="1"/>
      <w:numFmt w:val="decimal"/>
      <w:pStyle w:val="1448"/>
      <w:isLgl w:val="false"/>
      <w:suff w:val="tab"/>
      <w:lvlText w:val="(%4)"/>
      <w:lvlJc w:val="left"/>
      <w:pPr>
        <w:ind w:left="2553" w:hanging="851"/>
      </w:pPr>
      <w:rPr>
        <w:rFonts w:hint="default" w:cs="Times New Roman"/>
      </w:rPr>
    </w:lvl>
    <w:lvl w:ilvl="4">
      <w:start w:val="1"/>
      <w:numFmt w:val="russianLower"/>
      <w:pStyle w:val="1448"/>
      <w:isLgl w:val="false"/>
      <w:suff w:val="tab"/>
      <w:lvlText w:val="(%5)"/>
      <w:lvlJc w:val="left"/>
      <w:pPr>
        <w:ind w:left="2835" w:hanging="850"/>
      </w:pPr>
      <w:rPr>
        <w:rFonts w:hint="default" w:cs="Times New Roman"/>
      </w:rPr>
    </w:lvl>
    <w:lvl w:ilvl="5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6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7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  <w:lvl w:ilvl="8">
      <w:start w:val="1"/>
      <w:numFmt w:val="none"/>
      <w:isLgl w:val="false"/>
      <w:suff w:val="tab"/>
      <w:lvlText w:val=""/>
      <w:lvlJc w:val="left"/>
      <w:pPr>
        <w:ind w:left="1134" w:hanging="1134"/>
      </w:pPr>
      <w:rPr>
        <w:rFonts w:hint="default"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space"/>
      <w:lvlText w:val="%2)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space"/>
      <w:lvlText w:val="17.%1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2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0" w:firstLine="567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0" w:firstLine="567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6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space"/>
      <w:lvlText w:val="16.%1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14.%1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0" w:firstLine="567"/>
      </w:pPr>
      <w:rPr>
        <w:rFonts w:hint="default" w:ascii="Times New Roman" w:hAnsi="Times New Roman" w:cs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8.2.%1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space"/>
      <w:lvlText w:val="11.%1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3">
    <w:multiLevelType w:val="hybridMultilevel"/>
    <w:lvl w:ilvl="0">
      <w:start w:val="1"/>
      <w:numFmt w:val="bullet"/>
      <w:pStyle w:val="1417"/>
      <w:isLgl w:val="false"/>
      <w:suff w:val="tab"/>
      <w:lvlText w:val="-"/>
      <w:lvlJc w:val="left"/>
      <w:pPr>
        <w:ind w:left="1428" w:hanging="360"/>
        <w:tabs>
          <w:tab w:val="num" w:pos="1428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24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space"/>
      <w:lvlText w:val="13.%1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4"/>
        <w:szCs w:val="24"/>
      </w:rPr>
    </w:lvl>
    <w:lvl w:ilvl="1">
      <w:start w:val="1"/>
      <w:numFmt w:val="russianLower"/>
      <w:isLgl w:val="false"/>
      <w:suff w:val="space"/>
      <w:lvlText w:val="%2)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0" w:firstLine="709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4"/>
        <w:szCs w:val="24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space"/>
      <w:lvlText w:val="-"/>
      <w:lvlJc w:val="left"/>
      <w:pPr>
        <w:ind w:left="0" w:firstLine="567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space"/>
      <w:lvlText w:val="9.%1"/>
      <w:lvlJc w:val="left"/>
      <w:pPr>
        <w:ind w:left="0" w:firstLine="567"/>
      </w:pPr>
      <w:rPr>
        <w:rFonts w:hint="default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4"/>
        <w:szCs w:val="24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5">
    <w:multiLevelType w:val="hybridMultilevel"/>
    <w:lvl w:ilvl="0">
      <w:start w:val="1"/>
      <w:numFmt w:val="bullet"/>
      <w:pStyle w:val="1412"/>
      <w:isLgl w:val="false"/>
      <w:suff w:val="tab"/>
      <w:lvlText w:val=""/>
      <w:lvlJc w:val="left"/>
      <w:pPr>
        <w:ind w:left="284" w:hanging="284"/>
        <w:tabs>
          <w:tab w:val="num" w:pos="284" w:leader="none"/>
        </w:tabs>
      </w:pPr>
      <w:rPr>
        <w:rFonts w:hint="default" w:ascii="Webdings" w:hAnsi="Webdings"/>
        <w:b w:val="0"/>
        <w:i w:val="0"/>
        <w:color w:val="0070c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space"/>
      <w:lvlText w:val="18.%1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space"/>
      <w:lvlText w:val="%2)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567"/>
      </w:pPr>
      <w:rPr>
        <w:rFonts w:hint="default"/>
        <w:b/>
        <w:color w:val="000000" w:themeColor="text1"/>
        <w:sz w:val="24"/>
        <w:szCs w:val="24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567"/>
      </w:pPr>
      <w:rPr>
        <w:rFonts w:hint="default"/>
        <w:b w:val="0"/>
        <w:sz w:val="24"/>
      </w:rPr>
    </w:lvl>
    <w:lvl w:ilvl="2">
      <w:start w:val="1"/>
      <w:numFmt w:val="decimal"/>
      <w:isLgl w:val="false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3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0" w:firstLine="567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000000" w:themeColor="text1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russianLower"/>
      <w:isLgl w:val="false"/>
      <w:suff w:val="tab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space"/>
      <w:lvlText w:val="10.%1"/>
      <w:lvlJc w:val="left"/>
      <w:pPr>
        <w:ind w:left="0" w:firstLine="567"/>
      </w:pPr>
      <w:rPr>
        <w:rFonts w:hint="default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35"/>
  </w:num>
  <w:num w:numId="2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4"/>
  </w:num>
  <w:num w:numId="5">
    <w:abstractNumId w:val="9"/>
  </w:num>
  <w:num w:numId="6">
    <w:abstractNumId w:val="3"/>
  </w:num>
  <w:num w:numId="7">
    <w:abstractNumId w:val="37"/>
  </w:num>
  <w:num w:numId="8">
    <w:abstractNumId w:val="0"/>
  </w:num>
  <w:num w:numId="9">
    <w:abstractNumId w:val="6"/>
  </w:num>
  <w:num w:numId="10">
    <w:abstractNumId w:val="38"/>
  </w:num>
  <w:num w:numId="11">
    <w:abstractNumId w:val="31"/>
  </w:num>
  <w:num w:numId="12">
    <w:abstractNumId w:val="39"/>
  </w:num>
  <w:num w:numId="13">
    <w:abstractNumId w:val="19"/>
  </w:num>
  <w:num w:numId="14">
    <w:abstractNumId w:val="20"/>
  </w:num>
  <w:num w:numId="15">
    <w:abstractNumId w:val="30"/>
  </w:num>
  <w:num w:numId="16">
    <w:abstractNumId w:val="45"/>
  </w:num>
  <w:num w:numId="17">
    <w:abstractNumId w:val="21"/>
  </w:num>
  <w:num w:numId="18">
    <w:abstractNumId w:val="4"/>
  </w:num>
  <w:num w:numId="19">
    <w:abstractNumId w:val="25"/>
  </w:num>
  <w:num w:numId="20">
    <w:abstractNumId w:val="18"/>
  </w:num>
  <w:num w:numId="21">
    <w:abstractNumId w:val="5"/>
  </w:num>
  <w:num w:numId="22">
    <w:abstractNumId w:val="17"/>
  </w:num>
  <w:num w:numId="23">
    <w:abstractNumId w:val="10"/>
  </w:num>
  <w:num w:numId="24">
    <w:abstractNumId w:val="36"/>
  </w:num>
  <w:num w:numId="25">
    <w:abstractNumId w:val="12"/>
  </w:num>
  <w:num w:numId="26">
    <w:abstractNumId w:val="1"/>
  </w:num>
  <w:num w:numId="27">
    <w:abstractNumId w:val="15"/>
  </w:num>
  <w:num w:numId="28">
    <w:abstractNumId w:val="24"/>
  </w:num>
  <w:num w:numId="29">
    <w:abstractNumId w:val="41"/>
  </w:num>
  <w:num w:numId="30">
    <w:abstractNumId w:val="11"/>
  </w:num>
  <w:num w:numId="31">
    <w:abstractNumId w:val="22"/>
  </w:num>
  <w:num w:numId="32">
    <w:abstractNumId w:val="32"/>
  </w:num>
  <w:num w:numId="33">
    <w:abstractNumId w:val="7"/>
  </w:num>
  <w:num w:numId="34">
    <w:abstractNumId w:val="14"/>
  </w:num>
  <w:num w:numId="35">
    <w:abstractNumId w:val="16"/>
  </w:num>
  <w:num w:numId="36">
    <w:abstractNumId w:val="42"/>
  </w:num>
  <w:num w:numId="37">
    <w:abstractNumId w:val="34"/>
  </w:num>
  <w:num w:numId="38">
    <w:abstractNumId w:val="27"/>
  </w:num>
  <w:num w:numId="39">
    <w:abstractNumId w:val="29"/>
  </w:num>
  <w:num w:numId="40">
    <w:abstractNumId w:val="33"/>
  </w:num>
  <w:num w:numId="41">
    <w:abstractNumId w:val="13"/>
  </w:num>
  <w:num w:numId="42">
    <w:abstractNumId w:val="43"/>
  </w:num>
  <w:num w:numId="43">
    <w:abstractNumId w:val="2"/>
  </w:num>
  <w:num w:numId="44">
    <w:abstractNumId w:val="28"/>
  </w:num>
  <w:num w:numId="45">
    <w:abstractNumId w:val="40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76">
    <w:name w:val="Heading 1"/>
    <w:basedOn w:val="1186"/>
    <w:next w:val="1186"/>
    <w:link w:val="119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1177">
    <w:name w:val="Heading 2"/>
    <w:basedOn w:val="1186"/>
    <w:next w:val="1186"/>
    <w:link w:val="120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1178">
    <w:name w:val="Heading 3"/>
    <w:basedOn w:val="1186"/>
    <w:next w:val="1186"/>
    <w:link w:val="12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1179">
    <w:name w:val="Heading 4"/>
    <w:basedOn w:val="1186"/>
    <w:next w:val="1186"/>
    <w:link w:val="12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180">
    <w:name w:val="Heading 5"/>
    <w:basedOn w:val="1186"/>
    <w:next w:val="1186"/>
    <w:link w:val="12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181">
    <w:name w:val="Heading 6"/>
    <w:basedOn w:val="1186"/>
    <w:next w:val="1186"/>
    <w:link w:val="12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1182">
    <w:name w:val="Heading 7"/>
    <w:basedOn w:val="1186"/>
    <w:next w:val="1186"/>
    <w:link w:val="12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183">
    <w:name w:val="Heading 8"/>
    <w:basedOn w:val="1186"/>
    <w:next w:val="1186"/>
    <w:link w:val="12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184">
    <w:name w:val="Heading 9"/>
    <w:basedOn w:val="1186"/>
    <w:next w:val="1186"/>
    <w:link w:val="12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1185">
    <w:name w:val="Caption"/>
    <w:basedOn w:val="1186"/>
    <w:next w:val="1186"/>
    <w:link w:val="12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186" w:default="1">
    <w:name w:val="Normal"/>
    <w:qFormat/>
    <w:pPr>
      <w:widowControl w:val="off"/>
    </w:pPr>
  </w:style>
  <w:style w:type="character" w:styleId="1187" w:default="1">
    <w:name w:val="Default Paragraph Font"/>
    <w:uiPriority w:val="1"/>
    <w:semiHidden/>
    <w:unhideWhenUsed/>
  </w:style>
  <w:style w:type="table" w:styleId="11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89" w:default="1">
    <w:name w:val="No List"/>
    <w:uiPriority w:val="99"/>
    <w:semiHidden/>
    <w:unhideWhenUsed/>
  </w:style>
  <w:style w:type="paragraph" w:styleId="1190" w:customStyle="1">
    <w:name w:val="Заголовок 11"/>
    <w:basedOn w:val="1186"/>
    <w:next w:val="1186"/>
    <w:link w:val="121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1191" w:customStyle="1">
    <w:name w:val="Заголовок 21"/>
    <w:basedOn w:val="1186"/>
    <w:next w:val="1186"/>
    <w:link w:val="12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1192" w:customStyle="1">
    <w:name w:val="Заголовок 31"/>
    <w:basedOn w:val="1186"/>
    <w:next w:val="1186"/>
    <w:link w:val="121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1193" w:customStyle="1">
    <w:name w:val="Заголовок 41"/>
    <w:basedOn w:val="1186"/>
    <w:next w:val="1186"/>
    <w:link w:val="121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194" w:customStyle="1">
    <w:name w:val="Заголовок 51"/>
    <w:basedOn w:val="1186"/>
    <w:next w:val="1186"/>
    <w:link w:val="12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195" w:customStyle="1">
    <w:name w:val="Заголовок 61"/>
    <w:basedOn w:val="1186"/>
    <w:next w:val="1186"/>
    <w:link w:val="12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1196" w:customStyle="1">
    <w:name w:val="Заголовок 71"/>
    <w:basedOn w:val="1186"/>
    <w:next w:val="1186"/>
    <w:link w:val="12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197" w:customStyle="1">
    <w:name w:val="Заголовок 81"/>
    <w:basedOn w:val="1186"/>
    <w:next w:val="1186"/>
    <w:link w:val="12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198" w:customStyle="1">
    <w:name w:val="Заголовок 91"/>
    <w:basedOn w:val="1186"/>
    <w:next w:val="1186"/>
    <w:link w:val="12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199" w:customStyle="1">
    <w:name w:val="Heading 1 Char"/>
    <w:basedOn w:val="1187"/>
    <w:uiPriority w:val="9"/>
    <w:rPr>
      <w:rFonts w:ascii="Arial" w:hAnsi="Arial" w:eastAsia="Arial" w:cs="Arial"/>
      <w:sz w:val="40"/>
      <w:szCs w:val="40"/>
    </w:rPr>
  </w:style>
  <w:style w:type="character" w:styleId="1200" w:customStyle="1">
    <w:name w:val="Heading 2 Char"/>
    <w:basedOn w:val="1187"/>
    <w:uiPriority w:val="9"/>
    <w:rPr>
      <w:rFonts w:ascii="Arial" w:hAnsi="Arial" w:eastAsia="Arial" w:cs="Arial"/>
      <w:sz w:val="34"/>
    </w:rPr>
  </w:style>
  <w:style w:type="character" w:styleId="1201" w:customStyle="1">
    <w:name w:val="Heading 3 Char"/>
    <w:basedOn w:val="1187"/>
    <w:uiPriority w:val="9"/>
    <w:rPr>
      <w:rFonts w:ascii="Arial" w:hAnsi="Arial" w:eastAsia="Arial" w:cs="Arial"/>
      <w:sz w:val="30"/>
      <w:szCs w:val="30"/>
    </w:rPr>
  </w:style>
  <w:style w:type="character" w:styleId="1202" w:customStyle="1">
    <w:name w:val="Heading 4 Char"/>
    <w:basedOn w:val="1187"/>
    <w:uiPriority w:val="9"/>
    <w:rPr>
      <w:rFonts w:ascii="Arial" w:hAnsi="Arial" w:eastAsia="Arial" w:cs="Arial"/>
      <w:b/>
      <w:bCs/>
      <w:sz w:val="26"/>
      <w:szCs w:val="26"/>
    </w:rPr>
  </w:style>
  <w:style w:type="character" w:styleId="1203" w:customStyle="1">
    <w:name w:val="Heading 5 Char"/>
    <w:basedOn w:val="1187"/>
    <w:uiPriority w:val="9"/>
    <w:rPr>
      <w:rFonts w:ascii="Arial" w:hAnsi="Arial" w:eastAsia="Arial" w:cs="Arial"/>
      <w:b/>
      <w:bCs/>
      <w:sz w:val="24"/>
      <w:szCs w:val="24"/>
    </w:rPr>
  </w:style>
  <w:style w:type="character" w:styleId="1204" w:customStyle="1">
    <w:name w:val="Heading 6 Char"/>
    <w:basedOn w:val="1187"/>
    <w:uiPriority w:val="9"/>
    <w:rPr>
      <w:rFonts w:ascii="Arial" w:hAnsi="Arial" w:eastAsia="Arial" w:cs="Arial"/>
      <w:b/>
      <w:bCs/>
      <w:sz w:val="22"/>
      <w:szCs w:val="22"/>
    </w:rPr>
  </w:style>
  <w:style w:type="character" w:styleId="1205" w:customStyle="1">
    <w:name w:val="Heading 7 Char"/>
    <w:basedOn w:val="11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206" w:customStyle="1">
    <w:name w:val="Heading 8 Char"/>
    <w:basedOn w:val="1187"/>
    <w:uiPriority w:val="9"/>
    <w:rPr>
      <w:rFonts w:ascii="Arial" w:hAnsi="Arial" w:eastAsia="Arial" w:cs="Arial"/>
      <w:i/>
      <w:iCs/>
      <w:sz w:val="22"/>
      <w:szCs w:val="22"/>
    </w:rPr>
  </w:style>
  <w:style w:type="character" w:styleId="1207" w:customStyle="1">
    <w:name w:val="Heading 9 Char"/>
    <w:basedOn w:val="1187"/>
    <w:uiPriority w:val="9"/>
    <w:rPr>
      <w:rFonts w:ascii="Arial" w:hAnsi="Arial" w:eastAsia="Arial" w:cs="Arial"/>
      <w:i/>
      <w:iCs/>
      <w:sz w:val="21"/>
      <w:szCs w:val="21"/>
    </w:rPr>
  </w:style>
  <w:style w:type="character" w:styleId="1208" w:customStyle="1">
    <w:name w:val="Subtitle Char"/>
    <w:basedOn w:val="1187"/>
    <w:uiPriority w:val="11"/>
    <w:rPr>
      <w:sz w:val="24"/>
      <w:szCs w:val="24"/>
    </w:rPr>
  </w:style>
  <w:style w:type="character" w:styleId="1209" w:customStyle="1">
    <w:name w:val="Quote Char"/>
    <w:uiPriority w:val="29"/>
    <w:rPr>
      <w:i/>
    </w:rPr>
  </w:style>
  <w:style w:type="paragraph" w:styleId="1210" w:customStyle="1">
    <w:name w:val="Название объекта1"/>
    <w:basedOn w:val="1186"/>
    <w:next w:val="11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211" w:customStyle="1">
    <w:name w:val="Заголовок 1 Знак1"/>
    <w:basedOn w:val="1187"/>
    <w:link w:val="1190"/>
    <w:uiPriority w:val="9"/>
    <w:rPr>
      <w:rFonts w:ascii="Arial" w:hAnsi="Arial" w:eastAsia="Arial" w:cs="Arial"/>
      <w:sz w:val="40"/>
      <w:szCs w:val="40"/>
    </w:rPr>
  </w:style>
  <w:style w:type="character" w:styleId="1212" w:customStyle="1">
    <w:name w:val="Заголовок 2 Знак1"/>
    <w:basedOn w:val="1187"/>
    <w:link w:val="1191"/>
    <w:uiPriority w:val="9"/>
    <w:rPr>
      <w:rFonts w:ascii="Arial" w:hAnsi="Arial" w:eastAsia="Arial" w:cs="Arial"/>
      <w:sz w:val="34"/>
    </w:rPr>
  </w:style>
  <w:style w:type="character" w:styleId="1213" w:customStyle="1">
    <w:name w:val="Заголовок 3 Знак1"/>
    <w:basedOn w:val="1187"/>
    <w:link w:val="1192"/>
    <w:uiPriority w:val="9"/>
    <w:rPr>
      <w:rFonts w:ascii="Arial" w:hAnsi="Arial" w:eastAsia="Arial" w:cs="Arial"/>
      <w:sz w:val="30"/>
      <w:szCs w:val="30"/>
    </w:rPr>
  </w:style>
  <w:style w:type="character" w:styleId="1214" w:customStyle="1">
    <w:name w:val="Заголовок 4 Знак1"/>
    <w:basedOn w:val="1187"/>
    <w:link w:val="1193"/>
    <w:uiPriority w:val="9"/>
    <w:rPr>
      <w:rFonts w:ascii="Arial" w:hAnsi="Arial" w:eastAsia="Arial" w:cs="Arial"/>
      <w:b/>
      <w:bCs/>
      <w:sz w:val="26"/>
      <w:szCs w:val="26"/>
    </w:rPr>
  </w:style>
  <w:style w:type="character" w:styleId="1215" w:customStyle="1">
    <w:name w:val="Заголовок 5 Знак1"/>
    <w:basedOn w:val="1187"/>
    <w:link w:val="1194"/>
    <w:uiPriority w:val="9"/>
    <w:rPr>
      <w:rFonts w:ascii="Arial" w:hAnsi="Arial" w:eastAsia="Arial" w:cs="Arial"/>
      <w:b/>
      <w:bCs/>
      <w:sz w:val="24"/>
      <w:szCs w:val="24"/>
    </w:rPr>
  </w:style>
  <w:style w:type="character" w:styleId="1216" w:customStyle="1">
    <w:name w:val="Заголовок 6 Знак1"/>
    <w:basedOn w:val="1187"/>
    <w:link w:val="1195"/>
    <w:uiPriority w:val="9"/>
    <w:rPr>
      <w:rFonts w:ascii="Arial" w:hAnsi="Arial" w:eastAsia="Arial" w:cs="Arial"/>
      <w:b/>
      <w:bCs/>
      <w:sz w:val="22"/>
      <w:szCs w:val="22"/>
    </w:rPr>
  </w:style>
  <w:style w:type="character" w:styleId="1217" w:customStyle="1">
    <w:name w:val="Заголовок 7 Знак1"/>
    <w:basedOn w:val="1187"/>
    <w:link w:val="11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218" w:customStyle="1">
    <w:name w:val="Заголовок 8 Знак1"/>
    <w:basedOn w:val="1187"/>
    <w:link w:val="1197"/>
    <w:uiPriority w:val="9"/>
    <w:rPr>
      <w:rFonts w:ascii="Arial" w:hAnsi="Arial" w:eastAsia="Arial" w:cs="Arial"/>
      <w:i/>
      <w:iCs/>
      <w:sz w:val="22"/>
      <w:szCs w:val="22"/>
    </w:rPr>
  </w:style>
  <w:style w:type="character" w:styleId="1219" w:customStyle="1">
    <w:name w:val="Заголовок 9 Знак1"/>
    <w:basedOn w:val="1187"/>
    <w:link w:val="1198"/>
    <w:uiPriority w:val="9"/>
    <w:rPr>
      <w:rFonts w:ascii="Arial" w:hAnsi="Arial" w:eastAsia="Arial" w:cs="Arial"/>
      <w:i/>
      <w:iCs/>
      <w:sz w:val="21"/>
      <w:szCs w:val="21"/>
    </w:rPr>
  </w:style>
  <w:style w:type="character" w:styleId="1220" w:customStyle="1">
    <w:name w:val="Title Char"/>
    <w:basedOn w:val="1187"/>
    <w:uiPriority w:val="10"/>
    <w:rPr>
      <w:sz w:val="48"/>
      <w:szCs w:val="48"/>
    </w:rPr>
  </w:style>
  <w:style w:type="paragraph" w:styleId="1221">
    <w:name w:val="Subtitle"/>
    <w:basedOn w:val="1186"/>
    <w:next w:val="1186"/>
    <w:link w:val="1222"/>
    <w:uiPriority w:val="11"/>
    <w:qFormat/>
    <w:pPr>
      <w:spacing w:before="200" w:after="200"/>
    </w:pPr>
    <w:rPr>
      <w:sz w:val="24"/>
      <w:szCs w:val="24"/>
    </w:rPr>
  </w:style>
  <w:style w:type="character" w:styleId="1222" w:customStyle="1">
    <w:name w:val="Подзаголовок Знак"/>
    <w:basedOn w:val="1187"/>
    <w:link w:val="1221"/>
    <w:uiPriority w:val="11"/>
    <w:rPr>
      <w:sz w:val="24"/>
      <w:szCs w:val="24"/>
    </w:rPr>
  </w:style>
  <w:style w:type="paragraph" w:styleId="1223">
    <w:name w:val="Quote"/>
    <w:basedOn w:val="1186"/>
    <w:next w:val="1186"/>
    <w:link w:val="1224"/>
    <w:uiPriority w:val="29"/>
    <w:qFormat/>
    <w:pPr>
      <w:ind w:left="720" w:right="720"/>
    </w:pPr>
    <w:rPr>
      <w:i/>
    </w:rPr>
  </w:style>
  <w:style w:type="character" w:styleId="1224" w:customStyle="1">
    <w:name w:val="Цитата 2 Знак"/>
    <w:link w:val="1223"/>
    <w:uiPriority w:val="29"/>
    <w:rPr>
      <w:i/>
    </w:rPr>
  </w:style>
  <w:style w:type="character" w:styleId="1225" w:customStyle="1">
    <w:name w:val="Intense Quote Char"/>
    <w:uiPriority w:val="30"/>
    <w:rPr>
      <w:i/>
    </w:rPr>
  </w:style>
  <w:style w:type="character" w:styleId="1226" w:customStyle="1">
    <w:name w:val="Header Char"/>
    <w:basedOn w:val="1187"/>
    <w:uiPriority w:val="99"/>
  </w:style>
  <w:style w:type="character" w:styleId="1227" w:customStyle="1">
    <w:name w:val="Footer Char"/>
    <w:basedOn w:val="1187"/>
    <w:uiPriority w:val="99"/>
  </w:style>
  <w:style w:type="character" w:styleId="1228" w:customStyle="1">
    <w:name w:val="Caption Char"/>
    <w:basedOn w:val="1187"/>
    <w:link w:val="1426"/>
    <w:uiPriority w:val="35"/>
    <w:rPr>
      <w:b/>
      <w:bCs/>
      <w:color w:val="4f81bd" w:themeColor="accent1"/>
      <w:sz w:val="18"/>
      <w:szCs w:val="18"/>
    </w:rPr>
  </w:style>
  <w:style w:type="table" w:styleId="1229" w:customStyle="1">
    <w:name w:val="Table Grid Light"/>
    <w:basedOn w:val="118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230">
    <w:name w:val="Plain Table 1"/>
    <w:basedOn w:val="118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31">
    <w:name w:val="Plain Table 2"/>
    <w:basedOn w:val="1188"/>
    <w:uiPriority w:val="59"/>
    <w:tblPr>
      <w:tblBorders>
        <w:top w:val="single" w:color="000000" w:themeColor="text1" w:sz="4" w:space="0"/>
        <w:left w:val="none" w:color="000000" w:sz="4" w:space="0"/>
        <w:bottom w:val="single" w:color="000000" w:themeColor="text1" w:sz="4" w:space="0"/>
        <w:right w:val="none" w:color="000000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32">
    <w:name w:val="Plain Table 3"/>
    <w:basedOn w:val="118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33">
    <w:name w:val="Plain Table 4"/>
    <w:basedOn w:val="118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4">
    <w:name w:val="Plain Table 5"/>
    <w:basedOn w:val="118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35">
    <w:name w:val="Grid Table 1 Light"/>
    <w:basedOn w:val="118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6" w:customStyle="1">
    <w:name w:val="Grid Table 1 Light - Accent 1"/>
    <w:basedOn w:val="118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7" w:customStyle="1">
    <w:name w:val="Grid Table 1 Light - Accent 2"/>
    <w:basedOn w:val="118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8" w:customStyle="1">
    <w:name w:val="Grid Table 1 Light - Accent 3"/>
    <w:basedOn w:val="118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9" w:customStyle="1">
    <w:name w:val="Grid Table 1 Light - Accent 4"/>
    <w:basedOn w:val="118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0" w:customStyle="1">
    <w:name w:val="Grid Table 1 Light - Accent 5"/>
    <w:basedOn w:val="118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1" w:customStyle="1">
    <w:name w:val="Grid Table 1 Light - Accent 6"/>
    <w:basedOn w:val="118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2">
    <w:name w:val="Grid Table 2"/>
    <w:basedOn w:val="118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3" w:customStyle="1">
    <w:name w:val="Grid Table 2 - Accent 1"/>
    <w:basedOn w:val="118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4" w:customStyle="1">
    <w:name w:val="Grid Table 2 - Accent 2"/>
    <w:basedOn w:val="118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5" w:customStyle="1">
    <w:name w:val="Grid Table 2 - Accent 3"/>
    <w:basedOn w:val="118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6" w:customStyle="1">
    <w:name w:val="Grid Table 2 - Accent 4"/>
    <w:basedOn w:val="118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7" w:customStyle="1">
    <w:name w:val="Grid Table 2 - Accent 5"/>
    <w:basedOn w:val="118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8" w:customStyle="1">
    <w:name w:val="Grid Table 2 - Accent 6"/>
    <w:basedOn w:val="118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9">
    <w:name w:val="Grid Table 3"/>
    <w:basedOn w:val="118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0" w:customStyle="1">
    <w:name w:val="Grid Table 3 - Accent 1"/>
    <w:basedOn w:val="118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1" w:customStyle="1">
    <w:name w:val="Grid Table 3 - Accent 2"/>
    <w:basedOn w:val="118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2" w:customStyle="1">
    <w:name w:val="Grid Table 3 - Accent 3"/>
    <w:basedOn w:val="118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3" w:customStyle="1">
    <w:name w:val="Grid Table 3 - Accent 4"/>
    <w:basedOn w:val="118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4" w:customStyle="1">
    <w:name w:val="Grid Table 3 - Accent 5"/>
    <w:basedOn w:val="118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5" w:customStyle="1">
    <w:name w:val="Grid Table 3 - Accent 6"/>
    <w:basedOn w:val="118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6">
    <w:name w:val="Grid Table 4"/>
    <w:basedOn w:val="118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57" w:customStyle="1">
    <w:name w:val="Grid Table 4 - Accent 1"/>
    <w:basedOn w:val="118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258" w:customStyle="1">
    <w:name w:val="Grid Table 4 - Accent 2"/>
    <w:basedOn w:val="118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259" w:customStyle="1">
    <w:name w:val="Grid Table 4 - Accent 3"/>
    <w:basedOn w:val="118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260" w:customStyle="1">
    <w:name w:val="Grid Table 4 - Accent 4"/>
    <w:basedOn w:val="118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261" w:customStyle="1">
    <w:name w:val="Grid Table 4 - Accent 5"/>
    <w:basedOn w:val="118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262" w:customStyle="1">
    <w:name w:val="Grid Table 4 - Accent 6"/>
    <w:basedOn w:val="118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263">
    <w:name w:val="Grid Table 5 Dark"/>
    <w:basedOn w:val="11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264" w:customStyle="1">
    <w:name w:val="Grid Table 5 Dark- Accent 1"/>
    <w:basedOn w:val="11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265" w:customStyle="1">
    <w:name w:val="Grid Table 5 Dark - Accent 2"/>
    <w:basedOn w:val="11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266" w:customStyle="1">
    <w:name w:val="Grid Table 5 Dark - Accent 3"/>
    <w:basedOn w:val="11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267" w:customStyle="1">
    <w:name w:val="Grid Table 5 Dark- Accent 4"/>
    <w:basedOn w:val="11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268" w:customStyle="1">
    <w:name w:val="Grid Table 5 Dark - Accent 5"/>
    <w:basedOn w:val="11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269" w:customStyle="1">
    <w:name w:val="Grid Table 5 Dark - Accent 6"/>
    <w:basedOn w:val="11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270">
    <w:name w:val="Grid Table 6 Colorful"/>
    <w:basedOn w:val="118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271" w:customStyle="1">
    <w:name w:val="Grid Table 6 Colorful - Accent 1"/>
    <w:basedOn w:val="118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272" w:customStyle="1">
    <w:name w:val="Grid Table 6 Colorful - Accent 2"/>
    <w:basedOn w:val="118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273" w:customStyle="1">
    <w:name w:val="Grid Table 6 Colorful - Accent 3"/>
    <w:basedOn w:val="118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274" w:customStyle="1">
    <w:name w:val="Grid Table 6 Colorful - Accent 4"/>
    <w:basedOn w:val="118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275" w:customStyle="1">
    <w:name w:val="Grid Table 6 Colorful - Accent 5"/>
    <w:basedOn w:val="118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276" w:customStyle="1">
    <w:name w:val="Grid Table 6 Colorful - Accent 6"/>
    <w:basedOn w:val="118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277">
    <w:name w:val="Grid Table 7 Colorful"/>
    <w:basedOn w:val="118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8" w:customStyle="1">
    <w:name w:val="Grid Table 7 Colorful - Accent 1"/>
    <w:basedOn w:val="118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9" w:customStyle="1">
    <w:name w:val="Grid Table 7 Colorful - Accent 2"/>
    <w:basedOn w:val="118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0" w:customStyle="1">
    <w:name w:val="Grid Table 7 Colorful - Accent 3"/>
    <w:basedOn w:val="118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1" w:customStyle="1">
    <w:name w:val="Grid Table 7 Colorful - Accent 4"/>
    <w:basedOn w:val="118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2" w:customStyle="1">
    <w:name w:val="Grid Table 7 Colorful - Accent 5"/>
    <w:basedOn w:val="118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3" w:customStyle="1">
    <w:name w:val="Grid Table 7 Colorful - Accent 6"/>
    <w:basedOn w:val="118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4">
    <w:name w:val="List Table 1 Light"/>
    <w:basedOn w:val="118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5" w:customStyle="1">
    <w:name w:val="List Table 1 Light - Accent 1"/>
    <w:basedOn w:val="118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6" w:customStyle="1">
    <w:name w:val="List Table 1 Light - Accent 2"/>
    <w:basedOn w:val="118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7" w:customStyle="1">
    <w:name w:val="List Table 1 Light - Accent 3"/>
    <w:basedOn w:val="118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8" w:customStyle="1">
    <w:name w:val="List Table 1 Light - Accent 4"/>
    <w:basedOn w:val="118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9" w:customStyle="1">
    <w:name w:val="List Table 1 Light - Accent 5"/>
    <w:basedOn w:val="118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0" w:customStyle="1">
    <w:name w:val="List Table 1 Light - Accent 6"/>
    <w:basedOn w:val="118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1">
    <w:name w:val="List Table 2"/>
    <w:basedOn w:val="118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92" w:customStyle="1">
    <w:name w:val="List Table 2 - Accent 1"/>
    <w:basedOn w:val="118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293" w:customStyle="1">
    <w:name w:val="List Table 2 - Accent 2"/>
    <w:basedOn w:val="118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294" w:customStyle="1">
    <w:name w:val="List Table 2 - Accent 3"/>
    <w:basedOn w:val="118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295" w:customStyle="1">
    <w:name w:val="List Table 2 - Accent 4"/>
    <w:basedOn w:val="118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296" w:customStyle="1">
    <w:name w:val="List Table 2 - Accent 5"/>
    <w:basedOn w:val="118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297" w:customStyle="1">
    <w:name w:val="List Table 2 - Accent 6"/>
    <w:basedOn w:val="118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298">
    <w:name w:val="List Table 3"/>
    <w:basedOn w:val="118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9" w:customStyle="1">
    <w:name w:val="List Table 3 - Accent 1"/>
    <w:basedOn w:val="118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0" w:customStyle="1">
    <w:name w:val="List Table 3 - Accent 2"/>
    <w:basedOn w:val="118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1" w:customStyle="1">
    <w:name w:val="List Table 3 - Accent 3"/>
    <w:basedOn w:val="118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2" w:customStyle="1">
    <w:name w:val="List Table 3 - Accent 4"/>
    <w:basedOn w:val="118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3" w:customStyle="1">
    <w:name w:val="List Table 3 - Accent 5"/>
    <w:basedOn w:val="118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4" w:customStyle="1">
    <w:name w:val="List Table 3 - Accent 6"/>
    <w:basedOn w:val="118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5">
    <w:name w:val="List Table 4"/>
    <w:basedOn w:val="118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6" w:customStyle="1">
    <w:name w:val="List Table 4 - Accent 1"/>
    <w:basedOn w:val="118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7" w:customStyle="1">
    <w:name w:val="List Table 4 - Accent 2"/>
    <w:basedOn w:val="118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8" w:customStyle="1">
    <w:name w:val="List Table 4 - Accent 3"/>
    <w:basedOn w:val="118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9" w:customStyle="1">
    <w:name w:val="List Table 4 - Accent 4"/>
    <w:basedOn w:val="118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0" w:customStyle="1">
    <w:name w:val="List Table 4 - Accent 5"/>
    <w:basedOn w:val="118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1" w:customStyle="1">
    <w:name w:val="List Table 4 - Accent 6"/>
    <w:basedOn w:val="118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2">
    <w:name w:val="List Table 5 Dark"/>
    <w:basedOn w:val="118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13" w:customStyle="1">
    <w:name w:val="List Table 5 Dark - Accent 1"/>
    <w:basedOn w:val="118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14" w:customStyle="1">
    <w:name w:val="List Table 5 Dark - Accent 2"/>
    <w:basedOn w:val="118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15" w:customStyle="1">
    <w:name w:val="List Table 5 Dark - Accent 3"/>
    <w:basedOn w:val="118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16" w:customStyle="1">
    <w:name w:val="List Table 5 Dark - Accent 4"/>
    <w:basedOn w:val="118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17" w:customStyle="1">
    <w:name w:val="List Table 5 Dark - Accent 5"/>
    <w:basedOn w:val="118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18" w:customStyle="1">
    <w:name w:val="List Table 5 Dark - Accent 6"/>
    <w:basedOn w:val="118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19">
    <w:name w:val="List Table 6 Colorful"/>
    <w:basedOn w:val="118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320" w:customStyle="1">
    <w:name w:val="List Table 6 Colorful - Accent 1"/>
    <w:basedOn w:val="118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321" w:customStyle="1">
    <w:name w:val="List Table 6 Colorful - Accent 2"/>
    <w:basedOn w:val="118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322" w:customStyle="1">
    <w:name w:val="List Table 6 Colorful - Accent 3"/>
    <w:basedOn w:val="118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323" w:customStyle="1">
    <w:name w:val="List Table 6 Colorful - Accent 4"/>
    <w:basedOn w:val="118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324" w:customStyle="1">
    <w:name w:val="List Table 6 Colorful - Accent 5"/>
    <w:basedOn w:val="118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325" w:customStyle="1">
    <w:name w:val="List Table 6 Colorful - Accent 6"/>
    <w:basedOn w:val="118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326">
    <w:name w:val="List Table 7 Colorful"/>
    <w:basedOn w:val="118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7" w:customStyle="1">
    <w:name w:val="List Table 7 Colorful - Accent 1"/>
    <w:basedOn w:val="118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8" w:customStyle="1">
    <w:name w:val="List Table 7 Colorful - Accent 2"/>
    <w:basedOn w:val="118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9" w:customStyle="1">
    <w:name w:val="List Table 7 Colorful - Accent 3"/>
    <w:basedOn w:val="118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30" w:customStyle="1">
    <w:name w:val="List Table 7 Colorful - Accent 4"/>
    <w:basedOn w:val="118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31" w:customStyle="1">
    <w:name w:val="List Table 7 Colorful - Accent 5"/>
    <w:basedOn w:val="118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32" w:customStyle="1">
    <w:name w:val="List Table 7 Colorful - Accent 6"/>
    <w:basedOn w:val="118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33" w:customStyle="1">
    <w:name w:val="Lined - Accent"/>
    <w:basedOn w:val="11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34" w:customStyle="1">
    <w:name w:val="Lined - Accent 1"/>
    <w:basedOn w:val="11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335" w:customStyle="1">
    <w:name w:val="Lined - Accent 2"/>
    <w:basedOn w:val="11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336" w:customStyle="1">
    <w:name w:val="Lined - Accent 3"/>
    <w:basedOn w:val="11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337" w:customStyle="1">
    <w:name w:val="Lined - Accent 4"/>
    <w:basedOn w:val="11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338" w:customStyle="1">
    <w:name w:val="Lined - Accent 5"/>
    <w:basedOn w:val="11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339" w:customStyle="1">
    <w:name w:val="Lined - Accent 6"/>
    <w:basedOn w:val="11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340" w:customStyle="1">
    <w:name w:val="Bordered &amp; Lined - Accent"/>
    <w:basedOn w:val="118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41" w:customStyle="1">
    <w:name w:val="Bordered &amp; Lined - Accent 1"/>
    <w:basedOn w:val="118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342" w:customStyle="1">
    <w:name w:val="Bordered &amp; Lined - Accent 2"/>
    <w:basedOn w:val="118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343" w:customStyle="1">
    <w:name w:val="Bordered &amp; Lined - Accent 3"/>
    <w:basedOn w:val="118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344" w:customStyle="1">
    <w:name w:val="Bordered &amp; Lined - Accent 4"/>
    <w:basedOn w:val="118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345" w:customStyle="1">
    <w:name w:val="Bordered &amp; Lined - Accent 5"/>
    <w:basedOn w:val="118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346" w:customStyle="1">
    <w:name w:val="Bordered &amp; Lined - Accent 6"/>
    <w:basedOn w:val="118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347" w:customStyle="1">
    <w:name w:val="Bordered"/>
    <w:basedOn w:val="118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348" w:customStyle="1">
    <w:name w:val="Bordered - Accent 1"/>
    <w:basedOn w:val="118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349" w:customStyle="1">
    <w:name w:val="Bordered - Accent 2"/>
    <w:basedOn w:val="118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350" w:customStyle="1">
    <w:name w:val="Bordered - Accent 3"/>
    <w:basedOn w:val="118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351" w:customStyle="1">
    <w:name w:val="Bordered - Accent 4"/>
    <w:basedOn w:val="118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352" w:customStyle="1">
    <w:name w:val="Bordered - Accent 5"/>
    <w:basedOn w:val="118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353" w:customStyle="1">
    <w:name w:val="Bordered - Accent 6"/>
    <w:basedOn w:val="118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354" w:customStyle="1">
    <w:name w:val="Footnote Text Char"/>
    <w:uiPriority w:val="99"/>
    <w:rPr>
      <w:sz w:val="18"/>
    </w:rPr>
  </w:style>
  <w:style w:type="character" w:styleId="1355" w:customStyle="1">
    <w:name w:val="Endnote Text Char"/>
    <w:uiPriority w:val="99"/>
    <w:rPr>
      <w:sz w:val="20"/>
    </w:rPr>
  </w:style>
  <w:style w:type="character" w:styleId="1356">
    <w:name w:val="endnote reference"/>
    <w:basedOn w:val="1187"/>
    <w:uiPriority w:val="99"/>
    <w:semiHidden/>
    <w:unhideWhenUsed/>
    <w:rPr>
      <w:vertAlign w:val="superscript"/>
    </w:rPr>
  </w:style>
  <w:style w:type="paragraph" w:styleId="1357">
    <w:name w:val="toc 3"/>
    <w:basedOn w:val="1186"/>
    <w:next w:val="1186"/>
    <w:uiPriority w:val="39"/>
    <w:unhideWhenUsed/>
    <w:pPr>
      <w:ind w:left="567"/>
      <w:spacing w:after="57"/>
    </w:pPr>
  </w:style>
  <w:style w:type="paragraph" w:styleId="1358">
    <w:name w:val="toc 4"/>
    <w:basedOn w:val="1186"/>
    <w:next w:val="1186"/>
    <w:uiPriority w:val="39"/>
    <w:unhideWhenUsed/>
    <w:pPr>
      <w:ind w:left="850"/>
      <w:spacing w:after="57"/>
    </w:pPr>
  </w:style>
  <w:style w:type="paragraph" w:styleId="1359">
    <w:name w:val="toc 5"/>
    <w:basedOn w:val="1186"/>
    <w:next w:val="1186"/>
    <w:uiPriority w:val="39"/>
    <w:unhideWhenUsed/>
    <w:pPr>
      <w:ind w:left="1134"/>
      <w:spacing w:after="57"/>
    </w:pPr>
  </w:style>
  <w:style w:type="paragraph" w:styleId="1360">
    <w:name w:val="toc 6"/>
    <w:basedOn w:val="1186"/>
    <w:next w:val="1186"/>
    <w:uiPriority w:val="39"/>
    <w:unhideWhenUsed/>
    <w:pPr>
      <w:ind w:left="1417"/>
      <w:spacing w:after="57"/>
    </w:pPr>
  </w:style>
  <w:style w:type="paragraph" w:styleId="1361">
    <w:name w:val="toc 7"/>
    <w:basedOn w:val="1186"/>
    <w:next w:val="1186"/>
    <w:uiPriority w:val="39"/>
    <w:unhideWhenUsed/>
    <w:pPr>
      <w:ind w:left="1701"/>
      <w:spacing w:after="57"/>
    </w:pPr>
  </w:style>
  <w:style w:type="paragraph" w:styleId="1362">
    <w:name w:val="toc 8"/>
    <w:basedOn w:val="1186"/>
    <w:next w:val="1186"/>
    <w:uiPriority w:val="39"/>
    <w:unhideWhenUsed/>
    <w:pPr>
      <w:ind w:left="1984"/>
      <w:spacing w:after="57"/>
    </w:pPr>
  </w:style>
  <w:style w:type="paragraph" w:styleId="1363">
    <w:name w:val="toc 9"/>
    <w:basedOn w:val="1186"/>
    <w:next w:val="1186"/>
    <w:uiPriority w:val="39"/>
    <w:unhideWhenUsed/>
    <w:pPr>
      <w:ind w:left="2268"/>
      <w:spacing w:after="57"/>
    </w:pPr>
  </w:style>
  <w:style w:type="paragraph" w:styleId="1364">
    <w:name w:val="table of figures"/>
    <w:basedOn w:val="1186"/>
    <w:next w:val="1186"/>
    <w:uiPriority w:val="99"/>
    <w:unhideWhenUsed/>
  </w:style>
  <w:style w:type="paragraph" w:styleId="1365" w:customStyle="1">
    <w:name w:val="Заголовок 11"/>
    <w:basedOn w:val="1186"/>
    <w:next w:val="1186"/>
    <w:link w:val="1383"/>
    <w:uiPriority w:val="99"/>
    <w:qFormat/>
    <w:pPr>
      <w:numPr>
        <w:ilvl w:val="0"/>
        <w:numId w:val="9"/>
      </w:numPr>
      <w:jc w:val="both"/>
      <w:widowControl/>
      <w:tabs>
        <w:tab w:val="left" w:pos="850" w:leader="none"/>
      </w:tabs>
      <w:outlineLvl w:val="0"/>
    </w:pPr>
    <w:rPr>
      <w:b/>
      <w:sz w:val="24"/>
      <w:szCs w:val="24"/>
      <w:lang w:eastAsia="en-US"/>
    </w:rPr>
  </w:style>
  <w:style w:type="paragraph" w:styleId="1366" w:customStyle="1">
    <w:name w:val="Заголовок 21"/>
    <w:basedOn w:val="1365"/>
    <w:next w:val="1186"/>
    <w:link w:val="1384"/>
    <w:uiPriority w:val="99"/>
    <w:qFormat/>
    <w:pPr>
      <w:numPr>
        <w:ilvl w:val="0"/>
        <w:numId w:val="0"/>
      </w:numPr>
      <w:jc w:val="center"/>
    </w:pPr>
    <w:rPr>
      <w:color w:val="000000" w:themeColor="text1"/>
    </w:rPr>
  </w:style>
  <w:style w:type="paragraph" w:styleId="1367" w:customStyle="1">
    <w:name w:val="Заголовок 31"/>
    <w:basedOn w:val="1186"/>
    <w:next w:val="1186"/>
    <w:link w:val="1385"/>
    <w:uiPriority w:val="99"/>
    <w:qFormat/>
    <w:pPr>
      <w:numPr>
        <w:ilvl w:val="2"/>
        <w:numId w:val="9"/>
      </w:numPr>
      <w:keepLines/>
      <w:keepNext/>
      <w:spacing w:before="200" w:line="276" w:lineRule="auto"/>
      <w:widowControl/>
      <w:outlineLvl w:val="2"/>
    </w:pPr>
    <w:rPr>
      <w:rFonts w:ascii="Cambria" w:hAnsi="Cambria" w:eastAsia="Calibri"/>
      <w:b/>
      <w:bCs/>
      <w:color w:val="4f81bd"/>
    </w:rPr>
  </w:style>
  <w:style w:type="paragraph" w:styleId="1368" w:customStyle="1">
    <w:name w:val="Заголовок 41"/>
    <w:basedOn w:val="1186"/>
    <w:next w:val="1186"/>
    <w:link w:val="1386"/>
    <w:uiPriority w:val="99"/>
    <w:unhideWhenUsed/>
    <w:qFormat/>
    <w:pPr>
      <w:numPr>
        <w:ilvl w:val="3"/>
        <w:numId w:val="9"/>
      </w:numPr>
      <w:jc w:val="both"/>
      <w:keepLines/>
      <w:keepNext/>
      <w:spacing w:before="200"/>
      <w:widowControl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en-US"/>
    </w:rPr>
  </w:style>
  <w:style w:type="paragraph" w:styleId="1369" w:customStyle="1">
    <w:name w:val="Заголовок 51"/>
    <w:basedOn w:val="1186"/>
    <w:next w:val="1186"/>
    <w:link w:val="1387"/>
    <w:uiPriority w:val="99"/>
    <w:qFormat/>
    <w:pPr>
      <w:numPr>
        <w:ilvl w:val="4"/>
        <w:numId w:val="9"/>
      </w:numPr>
      <w:keepLines/>
      <w:keepNext/>
      <w:spacing w:before="200" w:line="276" w:lineRule="auto"/>
      <w:widowControl/>
      <w:outlineLvl w:val="4"/>
    </w:pPr>
    <w:rPr>
      <w:rFonts w:ascii="Cambria" w:hAnsi="Cambria"/>
      <w:color w:val="243f60"/>
      <w:sz w:val="24"/>
      <w:szCs w:val="22"/>
      <w:lang w:eastAsia="en-US"/>
    </w:rPr>
  </w:style>
  <w:style w:type="paragraph" w:styleId="1370" w:customStyle="1">
    <w:name w:val="Заголовок 61"/>
    <w:basedOn w:val="1186"/>
    <w:next w:val="1186"/>
    <w:link w:val="1388"/>
    <w:uiPriority w:val="99"/>
    <w:qFormat/>
    <w:pPr>
      <w:numPr>
        <w:ilvl w:val="5"/>
        <w:numId w:val="9"/>
      </w:numPr>
      <w:keepLines/>
      <w:keepNext/>
      <w:spacing w:before="200" w:line="276" w:lineRule="auto"/>
      <w:widowControl/>
      <w:outlineLvl w:val="5"/>
    </w:pPr>
    <w:rPr>
      <w:rFonts w:ascii="Cambria" w:hAnsi="Cambria"/>
      <w:i/>
      <w:iCs/>
      <w:color w:val="243f60"/>
      <w:sz w:val="24"/>
      <w:szCs w:val="22"/>
      <w:lang w:eastAsia="en-US"/>
    </w:rPr>
  </w:style>
  <w:style w:type="paragraph" w:styleId="1371" w:customStyle="1">
    <w:name w:val="Заголовок 71"/>
    <w:basedOn w:val="1186"/>
    <w:next w:val="1186"/>
    <w:link w:val="1389"/>
    <w:uiPriority w:val="99"/>
    <w:qFormat/>
    <w:pPr>
      <w:numPr>
        <w:ilvl w:val="6"/>
        <w:numId w:val="9"/>
      </w:numPr>
      <w:keepLines/>
      <w:keepNext/>
      <w:spacing w:before="200" w:line="276" w:lineRule="auto"/>
      <w:widowControl/>
      <w:outlineLvl w:val="6"/>
    </w:pPr>
    <w:rPr>
      <w:rFonts w:ascii="Cambria" w:hAnsi="Cambria"/>
      <w:i/>
      <w:iCs/>
      <w:color w:val="404040"/>
      <w:sz w:val="24"/>
      <w:szCs w:val="22"/>
      <w:lang w:eastAsia="en-US"/>
    </w:rPr>
  </w:style>
  <w:style w:type="paragraph" w:styleId="1372" w:customStyle="1">
    <w:name w:val="Заголовок 81"/>
    <w:basedOn w:val="1186"/>
    <w:next w:val="1186"/>
    <w:link w:val="1390"/>
    <w:uiPriority w:val="99"/>
    <w:qFormat/>
    <w:pPr>
      <w:numPr>
        <w:ilvl w:val="7"/>
        <w:numId w:val="9"/>
      </w:numPr>
      <w:keepLines/>
      <w:keepNext/>
      <w:spacing w:before="200" w:line="276" w:lineRule="auto"/>
      <w:widowControl/>
      <w:outlineLvl w:val="7"/>
    </w:pPr>
    <w:rPr>
      <w:rFonts w:ascii="Cambria" w:hAnsi="Cambria"/>
      <w:color w:val="404040"/>
      <w:lang w:eastAsia="en-US"/>
    </w:rPr>
  </w:style>
  <w:style w:type="paragraph" w:styleId="1373" w:customStyle="1">
    <w:name w:val="Заголовок 91"/>
    <w:basedOn w:val="1186"/>
    <w:next w:val="1186"/>
    <w:link w:val="1391"/>
    <w:uiPriority w:val="99"/>
    <w:qFormat/>
    <w:pPr>
      <w:numPr>
        <w:ilvl w:val="8"/>
        <w:numId w:val="9"/>
      </w:numPr>
      <w:keepLines/>
      <w:keepNext/>
      <w:spacing w:before="200" w:line="276" w:lineRule="auto"/>
      <w:widowControl/>
      <w:outlineLvl w:val="8"/>
    </w:pPr>
    <w:rPr>
      <w:rFonts w:ascii="Cambria" w:hAnsi="Cambria"/>
      <w:i/>
      <w:iCs/>
      <w:color w:val="404040"/>
      <w:lang w:eastAsia="en-US"/>
    </w:rPr>
  </w:style>
  <w:style w:type="paragraph" w:styleId="1374">
    <w:name w:val="Balloon Text"/>
    <w:basedOn w:val="1186"/>
    <w:link w:val="1394"/>
    <w:uiPriority w:val="99"/>
    <w:semiHidden/>
    <w:rPr>
      <w:rFonts w:ascii="Tahoma" w:hAnsi="Tahoma" w:cs="Tahoma"/>
      <w:sz w:val="16"/>
      <w:szCs w:val="16"/>
    </w:rPr>
  </w:style>
  <w:style w:type="paragraph" w:styleId="1375">
    <w:name w:val="Body Text Indent 2"/>
    <w:basedOn w:val="1186"/>
    <w:link w:val="1376"/>
    <w:unhideWhenUsed/>
    <w:pPr>
      <w:ind w:left="283"/>
      <w:spacing w:after="120" w:line="480" w:lineRule="auto"/>
      <w:widowControl/>
    </w:pPr>
    <w:rPr>
      <w:sz w:val="24"/>
    </w:rPr>
  </w:style>
  <w:style w:type="character" w:styleId="1376" w:customStyle="1">
    <w:name w:val="Основной текст с отступом 2 Знак"/>
    <w:link w:val="1375"/>
    <w:rPr>
      <w:sz w:val="24"/>
    </w:rPr>
  </w:style>
  <w:style w:type="paragraph" w:styleId="1377" w:customStyle="1">
    <w:name w:val="Верхний колонтитул1"/>
    <w:basedOn w:val="1186"/>
    <w:link w:val="1378"/>
    <w:uiPriority w:val="99"/>
    <w:pPr>
      <w:tabs>
        <w:tab w:val="center" w:pos="4677" w:leader="none"/>
        <w:tab w:val="right" w:pos="9355" w:leader="none"/>
      </w:tabs>
    </w:pPr>
  </w:style>
  <w:style w:type="character" w:styleId="1378" w:customStyle="1">
    <w:name w:val="Верхний колонтитул Знак"/>
    <w:basedOn w:val="1187"/>
    <w:link w:val="1377"/>
    <w:uiPriority w:val="99"/>
  </w:style>
  <w:style w:type="paragraph" w:styleId="1379" w:customStyle="1">
    <w:name w:val="Нижний колонтитул1"/>
    <w:basedOn w:val="1186"/>
    <w:link w:val="1380"/>
    <w:uiPriority w:val="99"/>
    <w:pPr>
      <w:tabs>
        <w:tab w:val="center" w:pos="4677" w:leader="none"/>
        <w:tab w:val="right" w:pos="9355" w:leader="none"/>
      </w:tabs>
    </w:pPr>
  </w:style>
  <w:style w:type="character" w:styleId="1380" w:customStyle="1">
    <w:name w:val="Нижний колонтитул Знак"/>
    <w:basedOn w:val="1187"/>
    <w:link w:val="1379"/>
    <w:uiPriority w:val="99"/>
  </w:style>
  <w:style w:type="paragraph" w:styleId="1381" w:customStyle="1">
    <w:name w:val="5"/>
    <w:basedOn w:val="1186"/>
    <w:pPr>
      <w:jc w:val="both"/>
      <w:spacing w:before="100" w:beforeAutospacing="1" w:after="100" w:afterAutospacing="1"/>
      <w:widowControl/>
    </w:pPr>
    <w:rPr>
      <w:rFonts w:ascii="Arial Unicode MS" w:hAnsi="Arial Unicode MS" w:eastAsia="Arial Unicode MS" w:cs="Arial Unicode MS"/>
      <w:sz w:val="24"/>
      <w:szCs w:val="24"/>
    </w:rPr>
  </w:style>
  <w:style w:type="paragraph" w:styleId="1382">
    <w:name w:val="No Spacing"/>
    <w:uiPriority w:val="1"/>
    <w:qFormat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383" w:customStyle="1">
    <w:name w:val="Заголовок 1 Знак"/>
    <w:link w:val="1365"/>
    <w:uiPriority w:val="99"/>
    <w:rPr>
      <w:b/>
      <w:sz w:val="24"/>
      <w:szCs w:val="24"/>
      <w:lang w:eastAsia="en-US"/>
    </w:rPr>
  </w:style>
  <w:style w:type="character" w:styleId="1384" w:customStyle="1">
    <w:name w:val="Заголовок 2 Знак"/>
    <w:link w:val="1366"/>
    <w:uiPriority w:val="99"/>
    <w:rPr>
      <w:rFonts w:ascii="Times New Roman" w:hAnsi="Times New Roman" w:eastAsia="Times New Roman" w:cs="Times New Roman"/>
      <w:b/>
      <w:color w:val="000000" w:themeColor="text1"/>
      <w:sz w:val="24"/>
      <w:szCs w:val="24"/>
      <w:lang w:eastAsia="en-US"/>
    </w:rPr>
  </w:style>
  <w:style w:type="character" w:styleId="1385" w:customStyle="1">
    <w:name w:val="Заголовок 3 Знак"/>
    <w:basedOn w:val="1187"/>
    <w:link w:val="1367"/>
    <w:uiPriority w:val="99"/>
    <w:rPr>
      <w:rFonts w:ascii="Cambria" w:hAnsi="Cambria" w:eastAsia="Calibri"/>
      <w:b/>
      <w:bCs/>
      <w:color w:val="4f81bd"/>
    </w:rPr>
  </w:style>
  <w:style w:type="character" w:styleId="1386" w:customStyle="1">
    <w:name w:val="Заголовок 4 Знак"/>
    <w:basedOn w:val="1187"/>
    <w:link w:val="1368"/>
    <w:uiPriority w:val="99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1387" w:customStyle="1">
    <w:name w:val="Заголовок 5 Знак"/>
    <w:basedOn w:val="1187"/>
    <w:link w:val="1369"/>
    <w:uiPriority w:val="99"/>
    <w:rPr>
      <w:rFonts w:ascii="Cambria" w:hAnsi="Cambria"/>
      <w:color w:val="243f60"/>
      <w:sz w:val="24"/>
      <w:szCs w:val="22"/>
      <w:lang w:eastAsia="en-US"/>
    </w:rPr>
  </w:style>
  <w:style w:type="character" w:styleId="1388" w:customStyle="1">
    <w:name w:val="Заголовок 6 Знак"/>
    <w:basedOn w:val="1187"/>
    <w:link w:val="1370"/>
    <w:uiPriority w:val="99"/>
    <w:rPr>
      <w:rFonts w:ascii="Cambria" w:hAnsi="Cambria"/>
      <w:i/>
      <w:iCs/>
      <w:color w:val="243f60"/>
      <w:sz w:val="24"/>
      <w:szCs w:val="22"/>
      <w:lang w:eastAsia="en-US"/>
    </w:rPr>
  </w:style>
  <w:style w:type="character" w:styleId="1389" w:customStyle="1">
    <w:name w:val="Заголовок 7 Знак"/>
    <w:basedOn w:val="1187"/>
    <w:link w:val="1371"/>
    <w:uiPriority w:val="99"/>
    <w:rPr>
      <w:rFonts w:ascii="Cambria" w:hAnsi="Cambria"/>
      <w:i/>
      <w:iCs/>
      <w:color w:val="404040"/>
      <w:sz w:val="24"/>
      <w:szCs w:val="22"/>
      <w:lang w:eastAsia="en-US"/>
    </w:rPr>
  </w:style>
  <w:style w:type="character" w:styleId="1390" w:customStyle="1">
    <w:name w:val="Заголовок 8 Знак"/>
    <w:basedOn w:val="1187"/>
    <w:link w:val="1372"/>
    <w:uiPriority w:val="99"/>
    <w:rPr>
      <w:rFonts w:ascii="Cambria" w:hAnsi="Cambria"/>
      <w:color w:val="404040"/>
      <w:lang w:eastAsia="en-US"/>
    </w:rPr>
  </w:style>
  <w:style w:type="character" w:styleId="1391" w:customStyle="1">
    <w:name w:val="Заголовок 9 Знак"/>
    <w:basedOn w:val="1187"/>
    <w:link w:val="1373"/>
    <w:uiPriority w:val="99"/>
    <w:rPr>
      <w:rFonts w:ascii="Cambria" w:hAnsi="Cambria"/>
      <w:i/>
      <w:iCs/>
      <w:color w:val="404040"/>
      <w:lang w:eastAsia="en-US"/>
    </w:rPr>
  </w:style>
  <w:style w:type="numbering" w:styleId="1392" w:customStyle="1">
    <w:name w:val="Нет списка1"/>
    <w:next w:val="1189"/>
    <w:uiPriority w:val="99"/>
    <w:semiHidden/>
    <w:unhideWhenUsed/>
  </w:style>
  <w:style w:type="paragraph" w:styleId="1393" w:customStyle="1">
    <w:name w:val="Стиль1"/>
    <w:basedOn w:val="1186"/>
    <w:pPr>
      <w:ind w:left="709" w:firstLine="567"/>
      <w:jc w:val="both"/>
      <w:spacing w:line="360" w:lineRule="auto"/>
      <w:widowControl/>
    </w:pPr>
    <w:rPr>
      <w:sz w:val="24"/>
      <w:szCs w:val="28"/>
      <w:lang w:eastAsia="en-US"/>
    </w:rPr>
  </w:style>
  <w:style w:type="character" w:styleId="1394" w:customStyle="1">
    <w:name w:val="Текст выноски Знак"/>
    <w:basedOn w:val="1187"/>
    <w:link w:val="1374"/>
    <w:uiPriority w:val="99"/>
    <w:semiHidden/>
    <w:rPr>
      <w:rFonts w:ascii="Tahoma" w:hAnsi="Tahoma" w:cs="Tahoma"/>
      <w:sz w:val="16"/>
      <w:szCs w:val="16"/>
    </w:rPr>
  </w:style>
  <w:style w:type="paragraph" w:styleId="1395">
    <w:name w:val="Body Text 2"/>
    <w:basedOn w:val="1186"/>
    <w:link w:val="1396"/>
    <w:uiPriority w:val="99"/>
    <w:pPr>
      <w:ind w:firstLine="567"/>
      <w:jc w:val="both"/>
      <w:widowControl/>
      <w:tabs>
        <w:tab w:val="left" w:pos="1080" w:leader="none"/>
      </w:tabs>
    </w:pPr>
    <w:rPr>
      <w:color w:val="000000"/>
      <w:sz w:val="24"/>
      <w:szCs w:val="24"/>
    </w:rPr>
  </w:style>
  <w:style w:type="character" w:styleId="1396" w:customStyle="1">
    <w:name w:val="Основной текст 2 Знак"/>
    <w:basedOn w:val="1187"/>
    <w:link w:val="1395"/>
    <w:uiPriority w:val="99"/>
    <w:rPr>
      <w:color w:val="000000"/>
      <w:sz w:val="24"/>
      <w:szCs w:val="24"/>
    </w:rPr>
  </w:style>
  <w:style w:type="table" w:styleId="1397">
    <w:name w:val="Table Grid"/>
    <w:basedOn w:val="118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98">
    <w:name w:val="page number"/>
    <w:basedOn w:val="1187"/>
    <w:uiPriority w:val="99"/>
    <w:rPr>
      <w:rFonts w:cs="Times New Roman"/>
    </w:rPr>
  </w:style>
  <w:style w:type="paragraph" w:styleId="1399">
    <w:name w:val="footnote text"/>
    <w:basedOn w:val="1186"/>
    <w:link w:val="1400"/>
    <w:pPr>
      <w:ind w:firstLine="567"/>
      <w:jc w:val="both"/>
      <w:widowControl/>
    </w:pPr>
    <w:rPr>
      <w:lang w:eastAsia="en-US"/>
    </w:rPr>
  </w:style>
  <w:style w:type="character" w:styleId="1400" w:customStyle="1">
    <w:name w:val="Текст сноски Знак"/>
    <w:basedOn w:val="1187"/>
    <w:link w:val="1399"/>
    <w:rPr>
      <w:lang w:eastAsia="en-US"/>
    </w:rPr>
  </w:style>
  <w:style w:type="character" w:styleId="1401">
    <w:name w:val="footnote reference"/>
    <w:basedOn w:val="1187"/>
    <w:uiPriority w:val="99"/>
    <w:rPr>
      <w:rFonts w:cs="Times New Roman"/>
      <w:vertAlign w:val="superscript"/>
    </w:rPr>
  </w:style>
  <w:style w:type="paragraph" w:styleId="1402">
    <w:name w:val="Body Text 3"/>
    <w:basedOn w:val="1186"/>
    <w:link w:val="1403"/>
    <w:uiPriority w:val="99"/>
    <w:pPr>
      <w:ind w:firstLine="567"/>
      <w:jc w:val="both"/>
      <w:spacing w:after="120"/>
      <w:widowControl/>
    </w:pPr>
    <w:rPr>
      <w:sz w:val="16"/>
      <w:szCs w:val="16"/>
    </w:rPr>
  </w:style>
  <w:style w:type="character" w:styleId="1403" w:customStyle="1">
    <w:name w:val="Основной текст 3 Знак"/>
    <w:basedOn w:val="1187"/>
    <w:link w:val="1402"/>
    <w:uiPriority w:val="99"/>
    <w:rPr>
      <w:sz w:val="16"/>
      <w:szCs w:val="16"/>
    </w:rPr>
  </w:style>
  <w:style w:type="paragraph" w:styleId="1404">
    <w:name w:val="Body Text"/>
    <w:basedOn w:val="1186"/>
    <w:link w:val="1405"/>
    <w:uiPriority w:val="99"/>
    <w:pPr>
      <w:ind w:firstLine="567"/>
      <w:jc w:val="both"/>
      <w:spacing w:after="120"/>
      <w:widowControl/>
    </w:pPr>
    <w:rPr>
      <w:sz w:val="24"/>
      <w:szCs w:val="24"/>
      <w:lang w:eastAsia="en-US"/>
    </w:rPr>
  </w:style>
  <w:style w:type="character" w:styleId="1405" w:customStyle="1">
    <w:name w:val="Основной текст Знак"/>
    <w:basedOn w:val="1187"/>
    <w:link w:val="1404"/>
    <w:uiPriority w:val="99"/>
    <w:rPr>
      <w:sz w:val="24"/>
      <w:szCs w:val="24"/>
      <w:lang w:eastAsia="en-US"/>
    </w:rPr>
  </w:style>
  <w:style w:type="paragraph" w:styleId="1406" w:customStyle="1">
    <w:name w:val="_НадЗаглРаздела"/>
    <w:basedOn w:val="1186"/>
    <w:next w:val="1186"/>
    <w:pPr>
      <w:ind w:firstLine="567"/>
      <w:jc w:val="center"/>
      <w:keepLines/>
      <w:keepNext/>
      <w:pageBreakBefore/>
      <w:spacing w:after="600"/>
      <w:widowControl/>
    </w:pPr>
    <w:rPr>
      <w:rFonts w:ascii="AGOpus" w:hAnsi="AGOpus" w:cs="AGOpus"/>
      <w:caps/>
      <w:color w:val="000080"/>
      <w:sz w:val="28"/>
      <w:szCs w:val="28"/>
    </w:rPr>
  </w:style>
  <w:style w:type="paragraph" w:styleId="1407" w:customStyle="1">
    <w:name w:val="заголовок 6"/>
    <w:basedOn w:val="1186"/>
    <w:next w:val="1186"/>
    <w:pPr>
      <w:ind w:firstLine="567"/>
      <w:jc w:val="center"/>
      <w:keepNext/>
      <w:spacing w:before="120" w:after="120"/>
      <w:widowControl/>
    </w:pPr>
    <w:rPr>
      <w:rFonts w:ascii="Arial" w:hAnsi="Arial" w:cs="Arial"/>
      <w:b/>
      <w:bCs/>
      <w:color w:val="000080"/>
      <w:sz w:val="32"/>
      <w:szCs w:val="32"/>
    </w:rPr>
  </w:style>
  <w:style w:type="paragraph" w:styleId="1408">
    <w:name w:val="Title"/>
    <w:basedOn w:val="1186"/>
    <w:link w:val="1409"/>
    <w:uiPriority w:val="99"/>
    <w:pPr>
      <w:ind w:firstLine="567"/>
      <w:jc w:val="center"/>
      <w:widowControl/>
    </w:pPr>
    <w:rPr>
      <w:sz w:val="32"/>
    </w:rPr>
  </w:style>
  <w:style w:type="character" w:styleId="1409" w:customStyle="1">
    <w:name w:val="Заголовок Знак"/>
    <w:basedOn w:val="1187"/>
    <w:link w:val="1408"/>
    <w:uiPriority w:val="99"/>
    <w:rPr>
      <w:sz w:val="32"/>
    </w:rPr>
  </w:style>
  <w:style w:type="paragraph" w:styleId="1410">
    <w:name w:val="List Paragraph"/>
    <w:basedOn w:val="1186"/>
    <w:link w:val="1431"/>
    <w:uiPriority w:val="34"/>
    <w:qFormat/>
    <w:pPr>
      <w:contextualSpacing/>
      <w:ind w:left="720" w:firstLine="567"/>
      <w:jc w:val="both"/>
      <w:widowControl/>
    </w:pPr>
    <w:rPr>
      <w:sz w:val="24"/>
      <w:szCs w:val="24"/>
      <w:lang w:eastAsia="en-US"/>
    </w:rPr>
  </w:style>
  <w:style w:type="paragraph" w:styleId="1411" w:customStyle="1">
    <w:name w:val="Булиты (широко)"/>
    <w:basedOn w:val="1412"/>
    <w:pPr>
      <w:spacing w:before="20" w:after="40"/>
    </w:pPr>
  </w:style>
  <w:style w:type="paragraph" w:styleId="1412" w:customStyle="1">
    <w:name w:val="Булиты (тесно)"/>
    <w:basedOn w:val="1186"/>
    <w:pPr>
      <w:numPr>
        <w:ilvl w:val="0"/>
        <w:numId w:val="1"/>
      </w:numPr>
      <w:jc w:val="both"/>
      <w:keepLines/>
      <w:widowControl/>
      <w:tabs>
        <w:tab w:val="left" w:pos="363" w:leader="none"/>
      </w:tabs>
    </w:pPr>
    <w:rPr>
      <w:rFonts w:ascii="Arial" w:hAnsi="Arial"/>
      <w:sz w:val="22"/>
      <w:szCs w:val="24"/>
    </w:rPr>
  </w:style>
  <w:style w:type="character" w:styleId="1413" w:customStyle="1">
    <w:name w:val="полужирный"/>
    <w:rPr>
      <w:b/>
      <w:bCs/>
    </w:rPr>
  </w:style>
  <w:style w:type="paragraph" w:styleId="1414" w:customStyle="1">
    <w:name w:val="нумерация (тесно)"/>
    <w:pPr>
      <w:spacing w:after="80"/>
    </w:pPr>
    <w:rPr>
      <w:rFonts w:ascii="Arial" w:hAnsi="Arial"/>
      <w:sz w:val="22"/>
      <w:szCs w:val="24"/>
    </w:rPr>
  </w:style>
  <w:style w:type="paragraph" w:styleId="1415">
    <w:name w:val="Intense Quote"/>
    <w:basedOn w:val="1186"/>
    <w:next w:val="1186"/>
    <w:link w:val="1416"/>
    <w:uiPriority w:val="30"/>
    <w:pPr>
      <w:ind w:left="936" w:right="936" w:firstLine="567"/>
      <w:jc w:val="both"/>
      <w:spacing w:before="200" w:after="280"/>
      <w:widowControl/>
      <w:pBdr>
        <w:bottom w:val="single" w:color="4F81BD" w:themeColor="accent1" w:sz="4" w:space="4"/>
      </w:pBdr>
    </w:pPr>
    <w:rPr>
      <w:rFonts w:ascii="Arial" w:hAnsi="Arial"/>
      <w:b/>
      <w:bCs/>
      <w:i/>
      <w:iCs/>
      <w:color w:val="4f81bd" w:themeColor="accent1"/>
      <w:sz w:val="22"/>
      <w:szCs w:val="24"/>
    </w:rPr>
  </w:style>
  <w:style w:type="character" w:styleId="1416" w:customStyle="1">
    <w:name w:val="Выделенная цитата Знак"/>
    <w:basedOn w:val="1187"/>
    <w:link w:val="1415"/>
    <w:uiPriority w:val="30"/>
    <w:rPr>
      <w:rFonts w:ascii="Arial" w:hAnsi="Arial"/>
      <w:b/>
      <w:bCs/>
      <w:i/>
      <w:iCs/>
      <w:color w:val="4f81bd" w:themeColor="accent1"/>
      <w:sz w:val="22"/>
      <w:szCs w:val="24"/>
    </w:rPr>
  </w:style>
  <w:style w:type="paragraph" w:styleId="1417" w:customStyle="1">
    <w:name w:val="марк список 1"/>
    <w:basedOn w:val="1186"/>
    <w:uiPriority w:val="99"/>
    <w:pPr>
      <w:numPr>
        <w:ilvl w:val="0"/>
        <w:numId w:val="2"/>
      </w:numPr>
      <w:jc w:val="both"/>
      <w:spacing w:before="120" w:after="120"/>
      <w:widowControl/>
    </w:pPr>
    <w:rPr>
      <w:sz w:val="24"/>
      <w:szCs w:val="24"/>
      <w:lang w:eastAsia="en-US"/>
    </w:rPr>
  </w:style>
  <w:style w:type="table" w:styleId="1418" w:customStyle="1">
    <w:name w:val="Сетка таблицы1"/>
    <w:basedOn w:val="1188"/>
    <w:next w:val="1397"/>
    <w:uiPriority w:val="59"/>
    <w:pPr>
      <w:jc w:val="center"/>
    </w:pPr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19">
    <w:name w:val="annotation reference"/>
    <w:basedOn w:val="1187"/>
    <w:uiPriority w:val="99"/>
    <w:rPr>
      <w:sz w:val="16"/>
      <w:szCs w:val="16"/>
    </w:rPr>
  </w:style>
  <w:style w:type="paragraph" w:styleId="1420">
    <w:name w:val="annotation text"/>
    <w:basedOn w:val="1186"/>
    <w:link w:val="1421"/>
    <w:pPr>
      <w:ind w:firstLine="567"/>
      <w:jc w:val="both"/>
      <w:widowControl/>
    </w:pPr>
    <w:rPr>
      <w:lang w:eastAsia="en-US"/>
    </w:rPr>
  </w:style>
  <w:style w:type="character" w:styleId="1421" w:customStyle="1">
    <w:name w:val="Текст примечания Знак"/>
    <w:basedOn w:val="1187"/>
    <w:link w:val="1420"/>
    <w:rPr>
      <w:lang w:eastAsia="en-US"/>
    </w:rPr>
  </w:style>
  <w:style w:type="paragraph" w:styleId="1422">
    <w:name w:val="annotation subject"/>
    <w:basedOn w:val="1420"/>
    <w:next w:val="1420"/>
    <w:link w:val="1423"/>
    <w:uiPriority w:val="99"/>
    <w:rPr>
      <w:b/>
      <w:bCs/>
    </w:rPr>
  </w:style>
  <w:style w:type="character" w:styleId="1423" w:customStyle="1">
    <w:name w:val="Тема примечания Знак"/>
    <w:basedOn w:val="1421"/>
    <w:link w:val="1422"/>
    <w:uiPriority w:val="99"/>
    <w:rPr>
      <w:b/>
      <w:bCs/>
      <w:lang w:eastAsia="en-US"/>
    </w:rPr>
  </w:style>
  <w:style w:type="paragraph" w:styleId="1424">
    <w:name w:val="HTML Preformatted"/>
    <w:basedOn w:val="1186"/>
    <w:link w:val="1425"/>
    <w:pPr>
      <w:ind w:firstLine="567"/>
      <w:jc w:val="both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1"/>
      <w:szCs w:val="21"/>
    </w:rPr>
  </w:style>
  <w:style w:type="character" w:styleId="1425" w:customStyle="1">
    <w:name w:val="Стандартный HTML Знак"/>
    <w:basedOn w:val="1187"/>
    <w:link w:val="1424"/>
    <w:rPr>
      <w:rFonts w:ascii="Courier New" w:hAnsi="Courier New" w:cs="Courier New"/>
      <w:sz w:val="21"/>
      <w:szCs w:val="21"/>
    </w:rPr>
  </w:style>
  <w:style w:type="paragraph" w:styleId="1426" w:customStyle="1">
    <w:name w:val="Название объекта1"/>
    <w:basedOn w:val="1186"/>
    <w:next w:val="1186"/>
    <w:link w:val="1228"/>
    <w:pPr>
      <w:ind w:firstLine="567"/>
      <w:jc w:val="both"/>
      <w:spacing w:before="120" w:after="120"/>
      <w:widowControl/>
    </w:pPr>
    <w:rPr>
      <w:b/>
      <w:bCs/>
    </w:rPr>
  </w:style>
  <w:style w:type="paragraph" w:styleId="1427">
    <w:name w:val="Revision"/>
    <w:hidden/>
    <w:uiPriority w:val="99"/>
    <w:semiHidden/>
    <w:rPr>
      <w:sz w:val="24"/>
      <w:szCs w:val="24"/>
      <w:lang w:val="en-US" w:eastAsia="en-US"/>
    </w:rPr>
  </w:style>
  <w:style w:type="paragraph" w:styleId="1428">
    <w:name w:val="toc 2"/>
    <w:basedOn w:val="1186"/>
    <w:next w:val="1186"/>
    <w:uiPriority w:val="39"/>
    <w:unhideWhenUsed/>
    <w:pPr>
      <w:ind w:left="238"/>
      <w:jc w:val="both"/>
      <w:widowControl/>
    </w:pPr>
    <w:rPr>
      <w:sz w:val="24"/>
      <w:szCs w:val="24"/>
      <w:lang w:eastAsia="en-US"/>
    </w:rPr>
  </w:style>
  <w:style w:type="paragraph" w:styleId="1429">
    <w:name w:val="toc 1"/>
    <w:basedOn w:val="1186"/>
    <w:next w:val="1186"/>
    <w:uiPriority w:val="39"/>
    <w:unhideWhenUsed/>
    <w:pPr>
      <w:widowControl/>
      <w:tabs>
        <w:tab w:val="left" w:pos="426" w:leader="none"/>
        <w:tab w:val="right" w:pos="10195" w:leader="dot"/>
      </w:tabs>
    </w:pPr>
    <w:rPr>
      <w:sz w:val="24"/>
      <w:szCs w:val="24"/>
    </w:rPr>
  </w:style>
  <w:style w:type="paragraph" w:styleId="1430">
    <w:name w:val="TOC Heading"/>
    <w:basedOn w:val="1365"/>
    <w:next w:val="1186"/>
    <w:uiPriority w:val="39"/>
    <w:unhideWhenUsed/>
    <w:qFormat/>
    <w:pPr>
      <w:keepLines/>
      <w:keepNext/>
      <w:spacing w:before="240"/>
      <w:outlineLvl w:val="9"/>
    </w:pPr>
    <w:rPr>
      <w:rFonts w:asciiTheme="majorHAnsi" w:hAnsiTheme="majorHAnsi" w:eastAsiaTheme="majorEastAsia" w:cstheme="majorBidi"/>
      <w:b w:val="0"/>
      <w:color w:val="365f91" w:themeColor="accent1" w:themeShade="BF"/>
      <w:sz w:val="32"/>
      <w:szCs w:val="32"/>
    </w:rPr>
  </w:style>
  <w:style w:type="character" w:styleId="1431" w:customStyle="1">
    <w:name w:val="Абзац списка Знак"/>
    <w:link w:val="1410"/>
    <w:uiPriority w:val="34"/>
    <w:rPr>
      <w:sz w:val="24"/>
      <w:szCs w:val="24"/>
      <w:lang w:eastAsia="en-US"/>
    </w:rPr>
  </w:style>
  <w:style w:type="character" w:styleId="1432">
    <w:name w:val="Hyperlink"/>
    <w:uiPriority w:val="99"/>
    <w:rPr>
      <w:rFonts w:cs="Times New Roman"/>
      <w:color w:val="0000ff"/>
      <w:u w:val="single"/>
    </w:rPr>
  </w:style>
  <w:style w:type="paragraph" w:styleId="1433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434" w:customStyle="1">
    <w:name w:val="Пункт2"/>
    <w:basedOn w:val="1186"/>
    <w:uiPriority w:val="99"/>
    <w:pPr>
      <w:jc w:val="both"/>
      <w:spacing w:after="200" w:line="276" w:lineRule="auto"/>
      <w:widowControl/>
      <w:tabs>
        <w:tab w:val="left" w:pos="1134" w:leader="none"/>
        <w:tab w:val="num" w:pos="5671" w:leader="none"/>
      </w:tabs>
    </w:pPr>
    <w:rPr>
      <w:rFonts w:ascii="Calibri" w:hAnsi="Calibri" w:eastAsia="Calibri"/>
      <w:sz w:val="24"/>
      <w:szCs w:val="22"/>
      <w:lang w:eastAsia="en-US"/>
    </w:rPr>
  </w:style>
  <w:style w:type="paragraph" w:styleId="1435" w:customStyle="1">
    <w:name w:val="Пункт-3"/>
    <w:basedOn w:val="1186"/>
    <w:uiPriority w:val="99"/>
    <w:pPr>
      <w:jc w:val="both"/>
      <w:spacing w:after="200" w:line="276" w:lineRule="auto"/>
      <w:widowControl/>
      <w:tabs>
        <w:tab w:val="num" w:pos="851" w:leader="none"/>
        <w:tab w:val="left" w:pos="1134" w:leader="none"/>
      </w:tabs>
    </w:pPr>
    <w:rPr>
      <w:rFonts w:ascii="Calibri" w:hAnsi="Calibri" w:eastAsia="Calibri"/>
      <w:sz w:val="24"/>
      <w:szCs w:val="22"/>
      <w:lang w:eastAsia="en-US"/>
    </w:rPr>
  </w:style>
  <w:style w:type="paragraph" w:styleId="1436" w:customStyle="1">
    <w:name w:val="Пункт-2"/>
    <w:basedOn w:val="1434"/>
    <w:uiPriority w:val="99"/>
    <w:pPr>
      <w:numPr>
        <w:ilvl w:val="1"/>
      </w:numPr>
      <w:tabs>
        <w:tab w:val="left" w:pos="1701" w:leader="none"/>
        <w:tab w:val="num" w:pos="5671" w:leader="none"/>
      </w:tabs>
    </w:pPr>
  </w:style>
  <w:style w:type="paragraph" w:styleId="1437" w:customStyle="1">
    <w:name w:val="Пункт-4"/>
    <w:basedOn w:val="1186"/>
    <w:uiPriority w:val="99"/>
    <w:pPr>
      <w:ind w:left="851" w:hanging="851"/>
      <w:jc w:val="both"/>
      <w:spacing w:after="200" w:line="276" w:lineRule="auto"/>
      <w:widowControl/>
      <w:tabs>
        <w:tab w:val="left" w:pos="1134" w:leader="none"/>
      </w:tabs>
    </w:pPr>
    <w:rPr>
      <w:rFonts w:ascii="Calibri" w:hAnsi="Calibri" w:eastAsia="Calibri"/>
      <w:sz w:val="24"/>
      <w:szCs w:val="22"/>
      <w:lang w:eastAsia="en-US"/>
    </w:rPr>
  </w:style>
  <w:style w:type="character" w:styleId="1438" w:customStyle="1">
    <w:name w:val="Тема примечания Знак1"/>
    <w:basedOn w:val="1421"/>
    <w:uiPriority w:val="99"/>
    <w:semiHidden/>
    <w:rPr>
      <w:rFonts w:ascii="Calibri" w:hAnsi="Calibri" w:eastAsia="Calibri" w:cs="Times New Roman"/>
      <w:b/>
      <w:bCs/>
      <w:sz w:val="20"/>
      <w:szCs w:val="20"/>
      <w:lang w:val="en-US" w:eastAsia="ru-RU"/>
    </w:rPr>
  </w:style>
  <w:style w:type="character" w:styleId="1439" w:customStyle="1">
    <w:name w:val="Схема документа Знак"/>
    <w:basedOn w:val="1187"/>
    <w:link w:val="1440"/>
    <w:uiPriority w:val="99"/>
    <w:semiHidden/>
    <w:rPr>
      <w:rFonts w:ascii="Tahoma" w:hAnsi="Tahoma" w:eastAsia="Calibri"/>
      <w:sz w:val="16"/>
      <w:szCs w:val="16"/>
    </w:rPr>
  </w:style>
  <w:style w:type="paragraph" w:styleId="1440">
    <w:name w:val="Document Map"/>
    <w:basedOn w:val="1186"/>
    <w:link w:val="1439"/>
    <w:uiPriority w:val="99"/>
    <w:semiHidden/>
    <w:pPr>
      <w:widowControl/>
    </w:pPr>
    <w:rPr>
      <w:rFonts w:ascii="Tahoma" w:hAnsi="Tahoma" w:eastAsia="Calibri"/>
      <w:sz w:val="16"/>
      <w:szCs w:val="16"/>
    </w:rPr>
  </w:style>
  <w:style w:type="character" w:styleId="1441" w:customStyle="1">
    <w:name w:val="Схема документа Знак1"/>
    <w:basedOn w:val="1187"/>
    <w:uiPriority w:val="99"/>
    <w:semiHidden/>
    <w:rPr>
      <w:rFonts w:ascii="Segoe UI" w:hAnsi="Segoe UI" w:cs="Segoe UI"/>
      <w:sz w:val="16"/>
      <w:szCs w:val="16"/>
    </w:rPr>
  </w:style>
  <w:style w:type="paragraph" w:styleId="1442" w:customStyle="1">
    <w:name w:val="[Ростех] Наименование Подраздела (Уровень 3)"/>
    <w:uiPriority w:val="99"/>
    <w:qFormat/>
    <w:pPr>
      <w:numPr>
        <w:ilvl w:val="1"/>
        <w:numId w:val="3"/>
      </w:numPr>
      <w:keepLines/>
      <w:keepNext/>
      <w:spacing w:before="240"/>
      <w:outlineLvl w:val="2"/>
    </w:pPr>
    <w:rPr>
      <w:rFonts w:ascii="Proxima Nova ExCn Rg" w:hAnsi="Proxima Nova ExCn Rg"/>
      <w:b/>
      <w:sz w:val="28"/>
      <w:szCs w:val="28"/>
    </w:rPr>
  </w:style>
  <w:style w:type="paragraph" w:styleId="1443" w:customStyle="1">
    <w:name w:val="[Ростех] Наименование Раздела (Уровень 2)"/>
    <w:uiPriority w:val="99"/>
    <w:qFormat/>
    <w:pPr>
      <w:ind w:left="1134" w:hanging="1134"/>
      <w:jc w:val="center"/>
      <w:keepLines/>
      <w:keepNext/>
      <w:spacing w:before="240"/>
      <w:outlineLvl w:val="1"/>
    </w:pPr>
    <w:rPr>
      <w:rFonts w:ascii="Proxima Nova ExCn Rg" w:hAnsi="Proxima Nova ExCn Rg"/>
      <w:b/>
      <w:sz w:val="28"/>
      <w:szCs w:val="28"/>
    </w:rPr>
  </w:style>
  <w:style w:type="paragraph" w:styleId="1444" w:customStyle="1">
    <w:name w:val="[Ростех] Простой текст (Без уровня)"/>
    <w:link w:val="1445"/>
    <w:uiPriority w:val="99"/>
    <w:qFormat/>
    <w:pPr>
      <w:jc w:val="both"/>
      <w:spacing w:before="120"/>
    </w:pPr>
    <w:rPr>
      <w:rFonts w:ascii="Proxima Nova ExCn Rg" w:hAnsi="Proxima Nova ExCn Rg"/>
      <w:sz w:val="28"/>
      <w:szCs w:val="28"/>
    </w:rPr>
  </w:style>
  <w:style w:type="character" w:styleId="1445" w:customStyle="1">
    <w:name w:val="[Ростех] Простой текст (Без уровня) Знак"/>
    <w:link w:val="1444"/>
    <w:uiPriority w:val="99"/>
    <w:rPr>
      <w:rFonts w:ascii="Proxima Nova ExCn Rg" w:hAnsi="Proxima Nova ExCn Rg"/>
      <w:sz w:val="28"/>
      <w:szCs w:val="28"/>
    </w:rPr>
  </w:style>
  <w:style w:type="paragraph" w:styleId="1446" w:customStyle="1">
    <w:name w:val="[Ростех] Текст Подпункта (Уровень 5)"/>
    <w:link w:val="1447"/>
    <w:uiPriority w:val="99"/>
    <w:qFormat/>
    <w:pPr>
      <w:ind w:left="2553" w:hanging="851"/>
      <w:jc w:val="both"/>
      <w:spacing w:before="120"/>
      <w:outlineLvl w:val="4"/>
    </w:pPr>
    <w:rPr>
      <w:rFonts w:ascii="Proxima Nova ExCn Rg" w:hAnsi="Proxima Nova ExCn Rg" w:eastAsia="Calibri"/>
      <w:sz w:val="28"/>
      <w:szCs w:val="22"/>
    </w:rPr>
  </w:style>
  <w:style w:type="character" w:styleId="1447" w:customStyle="1">
    <w:name w:val="[Ростех] Текст Подпункта (Уровень 5) Знак"/>
    <w:link w:val="1446"/>
    <w:uiPriority w:val="99"/>
    <w:qFormat/>
    <w:rPr>
      <w:rFonts w:ascii="Proxima Nova ExCn Rg" w:hAnsi="Proxima Nova ExCn Rg" w:eastAsia="Calibri"/>
      <w:sz w:val="28"/>
      <w:szCs w:val="22"/>
    </w:rPr>
  </w:style>
  <w:style w:type="paragraph" w:styleId="1448" w:customStyle="1">
    <w:name w:val="[Ростех] Текст Подпункта подпункта (Уровень 6)"/>
    <w:uiPriority w:val="99"/>
    <w:qFormat/>
    <w:pPr>
      <w:numPr>
        <w:ilvl w:val="4"/>
        <w:numId w:val="3"/>
      </w:numPr>
      <w:jc w:val="both"/>
      <w:spacing w:before="120"/>
      <w:outlineLvl w:val="5"/>
    </w:pPr>
    <w:rPr>
      <w:rFonts w:ascii="Proxima Nova ExCn Rg" w:hAnsi="Proxima Nova ExCn Rg"/>
      <w:sz w:val="28"/>
      <w:szCs w:val="28"/>
    </w:rPr>
  </w:style>
  <w:style w:type="paragraph" w:styleId="1449" w:customStyle="1">
    <w:name w:val="[Ростех] Текст Пункта (Уровень 4)"/>
    <w:link w:val="1450"/>
    <w:uiPriority w:val="99"/>
    <w:qFormat/>
    <w:pPr>
      <w:numPr>
        <w:ilvl w:val="2"/>
        <w:numId w:val="3"/>
      </w:numPr>
      <w:jc w:val="both"/>
      <w:spacing w:before="120"/>
      <w:outlineLvl w:val="3"/>
    </w:pPr>
    <w:rPr>
      <w:rFonts w:ascii="Proxima Nova ExCn Rg" w:hAnsi="Proxima Nova ExCn Rg"/>
      <w:sz w:val="28"/>
      <w:szCs w:val="28"/>
    </w:rPr>
  </w:style>
  <w:style w:type="character" w:styleId="1450" w:customStyle="1">
    <w:name w:val="[Ростех] Текст Пункта (Уровень 4) Знак"/>
    <w:basedOn w:val="1187"/>
    <w:link w:val="1449"/>
    <w:uiPriority w:val="99"/>
    <w:rPr>
      <w:rFonts w:ascii="Proxima Nova ExCn Rg" w:hAnsi="Proxima Nova ExCn Rg"/>
      <w:sz w:val="28"/>
      <w:szCs w:val="28"/>
    </w:rPr>
  </w:style>
  <w:style w:type="character" w:styleId="1451">
    <w:name w:val="Strong"/>
    <w:uiPriority w:val="99"/>
    <w:qFormat/>
    <w:rPr>
      <w:rFonts w:cs="Times New Roman"/>
      <w:b/>
    </w:rPr>
  </w:style>
  <w:style w:type="character" w:styleId="1452" w:customStyle="1">
    <w:name w:val="apple-converted-space"/>
  </w:style>
  <w:style w:type="paragraph" w:styleId="1453" w:customStyle="1">
    <w:name w:val="s_1"/>
    <w:basedOn w:val="1186"/>
    <w:pPr>
      <w:spacing w:before="100" w:beforeAutospacing="1" w:after="100" w:afterAutospacing="1"/>
      <w:widowControl/>
    </w:pPr>
    <w:rPr>
      <w:sz w:val="24"/>
      <w:szCs w:val="24"/>
    </w:rPr>
  </w:style>
  <w:style w:type="paragraph" w:styleId="1454" w:customStyle="1">
    <w:name w:val="Знак Знак Знак1"/>
    <w:basedOn w:val="1186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1455" w:customStyle="1">
    <w:name w:val="Текст концевой сноски Знак"/>
    <w:basedOn w:val="1187"/>
    <w:link w:val="1456"/>
    <w:uiPriority w:val="99"/>
    <w:semiHidden/>
    <w:rPr>
      <w:rFonts w:ascii="Calibri" w:hAnsi="Calibri" w:eastAsia="Calibri"/>
    </w:rPr>
  </w:style>
  <w:style w:type="paragraph" w:styleId="1456">
    <w:name w:val="endnote text"/>
    <w:basedOn w:val="1186"/>
    <w:link w:val="1455"/>
    <w:uiPriority w:val="99"/>
    <w:semiHidden/>
    <w:unhideWhenUsed/>
    <w:pPr>
      <w:widowControl/>
    </w:pPr>
    <w:rPr>
      <w:rFonts w:ascii="Calibri" w:hAnsi="Calibri" w:eastAsia="Calibri"/>
    </w:rPr>
  </w:style>
  <w:style w:type="character" w:styleId="1457" w:customStyle="1">
    <w:name w:val="Текст концевой сноски Знак1"/>
    <w:basedOn w:val="1187"/>
    <w:uiPriority w:val="99"/>
    <w:semiHidden/>
  </w:style>
  <w:style w:type="character" w:styleId="1458" w:customStyle="1">
    <w:name w:val="webofficeattributevalue1"/>
    <w:basedOn w:val="1187"/>
    <w:rPr>
      <w:rFonts w:hint="default" w:ascii="Verdana" w:hAnsi="Verdana"/>
      <w:strike w:val="0"/>
      <w:color w:val="000000"/>
      <w:sz w:val="18"/>
      <w:szCs w:val="18"/>
      <w:u w:val="none"/>
    </w:rPr>
  </w:style>
  <w:style w:type="character" w:styleId="1459">
    <w:name w:val="Placeholder Text"/>
    <w:basedOn w:val="1187"/>
    <w:uiPriority w:val="99"/>
    <w:semiHidden/>
    <w:rPr>
      <w:color w:val="808080"/>
    </w:rPr>
  </w:style>
  <w:style w:type="character" w:styleId="1460">
    <w:name w:val="FollowedHyperlink"/>
    <w:basedOn w:val="1187"/>
    <w:uiPriority w:val="99"/>
    <w:semiHidden/>
    <w:unhideWhenUsed/>
    <w:rPr>
      <w:color w:val="800080" w:themeColor="followedHyperlink"/>
      <w:u w:val="single"/>
    </w:rPr>
  </w:style>
  <w:style w:type="paragraph" w:styleId="1461" w:customStyle="1">
    <w:name w:val="положение"/>
    <w:basedOn w:val="1186"/>
    <w:link w:val="1462"/>
    <w:qFormat/>
  </w:style>
  <w:style w:type="character" w:styleId="1462" w:customStyle="1">
    <w:name w:val="положение Знак"/>
    <w:basedOn w:val="1187"/>
    <w:link w:val="1461"/>
  </w:style>
  <w:style w:type="paragraph" w:styleId="1463">
    <w:name w:val="Normal (Web)"/>
    <w:basedOn w:val="1186"/>
    <w:uiPriority w:val="99"/>
    <w:semiHidden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464" w:customStyle="1">
    <w:name w:val="Пункт_5"/>
    <w:uiPriority w:val="99"/>
    <w:pPr>
      <w:numPr>
        <w:ilvl w:val="4"/>
      </w:numPr>
      <w:ind w:firstLine="567"/>
      <w:jc w:val="both"/>
      <w:tabs>
        <w:tab w:val="num" w:pos="1703" w:leader="none"/>
        <w:tab w:val="num" w:pos="5109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szCs w:val="28"/>
    </w:rPr>
  </w:style>
  <w:style w:type="paragraph" w:styleId="1465" w:customStyle="1">
    <w:name w:val="Верхний колонтитул2"/>
    <w:basedOn w:val="1186"/>
    <w:link w:val="146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466" w:customStyle="1">
    <w:name w:val="Верхний колонтитул Знак1"/>
    <w:basedOn w:val="1187"/>
    <w:link w:val="1465"/>
    <w:uiPriority w:val="99"/>
  </w:style>
  <w:style w:type="paragraph" w:styleId="1467" w:customStyle="1">
    <w:name w:val="Нижний колонтитул2"/>
    <w:basedOn w:val="1186"/>
    <w:link w:val="146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468" w:customStyle="1">
    <w:name w:val="Нижний колонтитул Знак1"/>
    <w:basedOn w:val="1187"/>
    <w:link w:val="1467"/>
    <w:uiPriority w:val="99"/>
  </w:style>
  <w:style w:type="character" w:styleId="1469" w:customStyle="1">
    <w:name w:val="docdata"/>
    <w:basedOn w:val="1187"/>
  </w:style>
  <w:style w:type="paragraph" w:styleId="1470" w:customStyle="1">
    <w:name w:val="2888"/>
    <w:basedOn w:val="1186"/>
    <w:pPr>
      <w:spacing w:before="100" w:beforeAutospacing="1" w:after="100" w:afterAutospacing="1"/>
      <w:widowControl/>
    </w:pPr>
    <w:rPr>
      <w:sz w:val="24"/>
      <w:szCs w:val="24"/>
    </w:rPr>
  </w:style>
  <w:style w:type="paragraph" w:styleId="1471">
    <w:name w:val="Header"/>
    <w:basedOn w:val="1186"/>
    <w:link w:val="147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472" w:customStyle="1">
    <w:name w:val="Верхний колонтитул Знак2"/>
    <w:basedOn w:val="1187"/>
    <w:link w:val="1471"/>
    <w:uiPriority w:val="99"/>
  </w:style>
  <w:style w:type="paragraph" w:styleId="1473">
    <w:name w:val="Footer"/>
    <w:basedOn w:val="1186"/>
    <w:link w:val="147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474" w:customStyle="1">
    <w:name w:val="Нижний колонтитул Знак2"/>
    <w:basedOn w:val="1187"/>
    <w:link w:val="1473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Relationship Id="rId21" Type="http://schemas.openxmlformats.org/officeDocument/2006/relationships/footer" Target="footer6.xml" /><Relationship Id="rId22" Type="http://schemas.openxmlformats.org/officeDocument/2006/relationships/footer" Target="footer7.xml" /><Relationship Id="rId23" Type="http://schemas.openxmlformats.org/officeDocument/2006/relationships/customXml" Target="../customXml/item1.xml" /><Relationship Id="rId24" Type="http://schemas.openxmlformats.org/officeDocument/2006/relationships/image" Target="media/image2.png"/><Relationship Id="rId25" Type="http://schemas.openxmlformats.org/officeDocument/2006/relationships/image" Target="media/image3.png"/><Relationship Id="rId26" Type="http://schemas.openxmlformats.org/officeDocument/2006/relationships/hyperlink" Target="https://zakupki.gov.ru/epz/order/extendedsearch/results.html" TargetMode="External"/><Relationship Id="rId27" Type="http://schemas.openxmlformats.org/officeDocument/2006/relationships/hyperlink" Target="https://zakupki.gov.ru/epz/contractfz223/search/results.html" TargetMode="External"/><Relationship Id="rId28" Type="http://schemas.openxmlformats.org/officeDocument/2006/relationships/hyperlink" Target="https://zakupki.gov.ru/epz/contract/search/results.html" TargetMode="External"/><Relationship Id="rId29" Type="http://schemas.openxmlformats.org/officeDocument/2006/relationships/hyperlink" Target="https://www.economy.gov.ru/" TargetMode="External"/><Relationship Id="rId30" Type="http://schemas.openxmlformats.org/officeDocument/2006/relationships/hyperlink" Target="consultantplus://offline/ref=2A6B5D54FC91A5D34616D251060795D5DB40A5085437F901D72A15F589283805FF15EA5CCC0611D9784322A72B9C9EE33B151D447D33A042nCk1N" TargetMode="External"/><Relationship Id="rId31" Type="http://schemas.openxmlformats.org/officeDocument/2006/relationships/hyperlink" Target="http://www.pskovenergoagent.ru/procurement/procurement-management/index.ph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8AA25-2D3C-4CD8-9D24-D05DBFE07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РАО «ЕЭС России»</dc:title>
  <dc:creator>Агапова Кира Давидовна</dc:creator>
  <cp:lastModifiedBy>Александров-М.И.</cp:lastModifiedBy>
  <cp:revision>90</cp:revision>
  <dcterms:created xsi:type="dcterms:W3CDTF">2025-10-23T08:07:00Z</dcterms:created>
  <dcterms:modified xsi:type="dcterms:W3CDTF">2026-05-28T07:50:06Z</dcterms:modified>
</cp:coreProperties>
</file>